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142</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21 de mayo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febrero de 2012, el Procurador de los Tribunales don Carlos Ibáñez de la Cadiniere, en nombre y representación de don Félix García Masero, interpuso demanda de amparo contra la providencia de la Sala de lo Civil del Tribunal Supremo de 4 de octubre de 2011, por la que se inadmite el incidente de nulidad de actuaciones contra el Auto de 15 de noviembre de 2011, por el que se inadmite el recurso de casación núm. 2186-2010, dando lugar al presente recurso de amparo, sobre cuya admisibilidad debe conocer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21 de abril de 2014 el Magistrado don Juan Antonio Xiol Ríos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amparo núm. 860-2012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