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21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octubre de 2013, el Procurador de los Tribunales don Javier Cuevas Rivas, en nombre y representación de don Raúl Ibáñez Díez, interpuso demanda de amparo contra el Auto de la Sala de lo Penal del Tribunal Supremo de 9 de mayo de 2013, por el que se declara no haber lugar a la admisión del recurso de casación núm. 10149-2013 interpuesto contra el Auto del Pleno de la Sala de lo Penal de la Audiencia Nacional de 10 de diciembre de 2012 en la ejecutoria núm. 76-1996, sobre licenciamiento.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por providencia de 26 de febrero de 2014, recibidas las actuaciones y a la vista de la resolución de 14 de noviembre de 2013 acordando la puesta en libertad del recurrente y declarando extinguidas sus responsabilidades penales, acordó conceder un plazo de cinco días a las partes personadas para que, en virtud del art. 84 de la Ley Orgánica del Tribunal Constitucional, alegaran lo que estimaran conveniente sobre la perdida de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presentó alegaciones mediante escrito registrado el 4 de marzo de 2014, en el que consideró que existía pérdida sobrevenida de objeto del recurso de amparo al haberse producido, tras la admisión de la demanda, la reparación por el Auto de la Sala de lo Penal de la Audiencia Nacional de 15 de noviembre de 2013 de la lesión del derecho a la libertad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alegaciones mediante escrito registrado el 10 de marzo de 2014, en el que consideró que existía la pérdida sobrevenida de objeto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nuestra reiterada doctrina (por todos, ATC 6/2013, de 14 de enero, que a su vez cita los AATC 43/1985, de 23 de enero, 243/2007, de 21 de mayo, 285/2008, de 22 de septiembre, y 287/2008, de 22 de septiembre), la desaparición sobrevenida del objeto es una de las formas de terminación del proceso constitucional iniciado por el recurso de amparo, cuando las circunstancias sobrevenidas con posterioridad a la presentación de la demanda hacen innecesario un pronunciamiento del Tribunal Constitucional al haberse modificado de manera sustancial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“como hemos declarado reiteradamente —así, STC 118/2007, de 21 de mayo, FJ 2— la desaparición sobrevenida del objeto del proceso, aun cuando no contemplada expresamente en el art. 86.1 LOTC, ha sido admitida por este Tribunal como forma de terminación de los distintos procesos constitucionales. En particular y en lo que ahora importa, es lo que sucede en los casos en los que, en el procedimiento que dio origen al recurso de amparo, los propios órganos judiciales han reparado las lesiones del derecho invocado en sede constitucional, (SSTC 305/2000, de 11 de diciembre, FJ 9; 13/2005, de 31 de enero, FJ 2; y ATC 30/2004, de 9 de febrero, FJ 3). De modo que, en estos supuestos, la demanda de amparo deja de tener objeto, toda vez que la reparación de la lesión del derecho fundamental por los propios órganos judiciales, antes de que este Tribunal dicte su decisión, priva de sentido al pronunciamiento sobre una vulneración ya inexistente, salvo que, como también hemos afirmado, a pesar de haber desaparecido formalmente el acto lesivo, debieran tenerse en cuenta otros elementos de juicio que continuaran haciendo precisa nuestra respuesta (SSTC 84/2006, de 27 de mayo, FJ 2; y 128/2006, de 24 de abril, FJ 2)” (STC 133/2007, de 4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supuestos podemos recordar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ha desaparecido la causa origen del proceso de amparo (así, SSTC 40/1982, de 30 de junio, 32/1982, de 7 de junio, 151/1990, de 4 de octubre, 139/1992, de 13 de octubre, 57/1993, de 15 de febrero, 87/1996, de 21 de mayo, 257/2000, de 30 de octubre, y AATC 56/1983, de 16 de febrero, 287/1984, de 16 de mayo, 43/1985, de 23 de enero, 945/1985, de 19 de diciembre, 258/1992, de 14 de septiembre), no cabe sino concluir, en principio, que éste carece desde ese momento de objeto sobre el que deba pronunciarse este Tribunal (por todos, ATC 156/2003, de 19 de mayo, FJ 5).” (ATC 286/2006, de 24 de julio, FJ 2). En todo caso conviene advertir que es preciso excluir todo automatismo en la respuesta, por lo que habrá que atender a las circunstancias particulares que concurren en cada caso (STC 305/2000, de 11 de diciembre,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examen de los Autos se desprende que el Pleno de la Sala de lo Penal de la Audiencia Nacional resolvió hacer extensiva la aplicación de la Sentencia del Tribunal Europeo de Derechos Humanos de 21 de octubre de 2013 por la similitud existente con las pretensiones del demandante de amparo y, en consecuencia, descontar las redenciones de pena por el trabajo del máximo de cumplimiento, acordando la inmediata puesta en libertad del recurrente y declarando extinguidas sus responsabilidades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satisfecha la pretensión que el demandante sostuvo en su recurso de amparo y habiéndose decretado su puesta en libertad, de conformidad con lo dispuesto en los arts. 80 y 86.1 de la Ley Orgánica del Tribunal Constitucional (LOTC), en relación con el art. 22 de la Ley de enjuiciamiento civil, procede declarar la pérdida de objeto del presente recurso, en tanto que la continuación del proceso no satisface ningún interés.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por la pérdida de objeto del amparo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