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junio de 2014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Con fecha 13 de mayo de 2014, ha sido notificada a la recurrente doña María Teresa Díaz Ortega la STC 66/2014, de 5 de mayo, recaída en el recurso de amparo núm. 3256-2012, promovida por la misma en su propio nombre y representación contra la Sentencia núm. 246/2012, de 28 de marzo, del Tribunal Superior de Justicia de Madrid, Sala de lo Contencioso-Administrativo, Sección Octava.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Con fecha 16 de mayo de 2014, ha tenido entrada en este Tribunal un escrito de doña María Teresa Díaz Ortega, que actúa en su propio nombre y representación, solicitando la rectificación de la Sentencia en el sentido de que donde se expresa “en el procedimiento de derechos fundamentales núm. 1-2001” se indique “en el procedimiento de derechos fundamentales núm. 1-2011”.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art. 267.3 de la Ley Orgánica del Poder Judicial, aplicable supletoriamente a esta jurisdicción constitucional (ex art. 80 de la Ley Orgánica del Tribunal Constitucional), determina que los errores materiales manifiestos y los aritméticos en que incurran las resoluciones judiciales podrán ser rectificados en cualquier momento.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Rectificar el error material en el sentido de que donde se expresa “en el procedimiento de derechos fundamentales núm. 1-2001, debe figurar “en el procedimiento de derechos fundamentales núm. 1-2011”.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nueve de junio de dos mil catorce.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