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julio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1326-2007, interpuesto por don Miguel Bellido Valenzuela, representado por el Procurador de los Tribunales don Jaime Pérez de Sevilla Guitard y asistido por la Letrada doña Judith Barceló Cisquella, contra la Sentencia de la Sala de lo Social del Tribunal Superior de Justicia de Cataluña, de 10 de enero de 2007, que desestimó el recurso de suplicación núm. 7785-2005 formalizado contra la Sentencia de 25 de mayo de 2005 del Juzgado de lo Social núm. 22 de Barcelona, dictada en autos núm. 76-2005 sobre pensión de viudedad. Ha comparecido el Instituto Nacional de la Seguridad Social (INSS). Ha intervenido el Ministerio Fiscal. Ha sido Ponente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entrada en el Registro General de este Tribunal el día 15 de febrero de 2007, el Procurador de los Tribunales don Jaime Pérez de Sevilla Guitard interpuso recurso de amparo en nombre y representación de don Miguel Bellido Valenzuela, contra la Sentencia de la Sala de lo Social del Tribunal Superior de Justicia de Cataluña, de 10 de enero de 2007, considerando que vulnera el art. 14 CE en relación con los arts. 39.1 y 41.1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Miguel Bellido Valenzuela y don Jaume Mallol Cardona, convivieron ininterrumpidamente más de treinta y cuatro años como si de un matrimonio se tratase, hasta el fallecimiento de don Jaume el día 16 de agosto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solicitó del Instituto Nacional de la Seguridad Social (INSS) el reconocimiento del derecho a pensión de viudedad, que fue denegado en resolución de 18 de octubre de 2004 al no acreditar el solicitante que hubiera contraído matrimonio con el fallecido. Formalizó reclamación previa reiterando su pretensión, que resultó igualmente desestimada por resolución de 15 de diciembre de 2004, haciéndose referencia en ella para justificar la denegación del derecho tanto a lo dispuesto en el art. 174 de la Ley general de la Seguridad Social (LGSS), aprobada por Real Decreto Legislativo 1/1994, de 20 de junio, como a lo establecido en la STC 184/1990,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2 de febrero de 2005 el recurrente en amparo presentó demanda para el reconocimiento de su derecho, que fue turnada al Juzgado de lo Social núm. 22 de Barcelona. Alegaba la parte actora que existía una evidente imposibilidad de contraer matrimonio y que formalizó en escritura pública su relación conforme autorizaba la Ley catalana 10/1998, de 15 de julio y aducía que no se puede exigir el requisito de haber contraído matrimonio previo al hecho causante cuando el legislador español no ha brindado tal posibilidad; y añadía que haber convivido durante treinta y cuatro años determina la inclusión dentro del art. 174 LGSS en interpretación del precepto en relación con los artículos 14, 39.1 y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lo Social núm. 22 de Barcelona dictó Sentencia con fecha de 25 de mayo de 2005. Razona el juzgador, invocando reiterada jurisprudencia, que la pensión de viudedad sólo puede reconocerse al cónyuge supérstite y no reúne tal condición quien no ha contraído matrimonio por cualquiera de las formas admitidas por el Código civil. Por todo lo cual, desestimaba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formalizó recurso de suplicación en un único motivo, denunciando la violación de lo dispuesto en el art. 174 LGSS, en relación con los arts. 14, 39.1 y 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Cataluña dictó Sentencia con fecha 10 de enero de 2007, desestimando el recurso de suplicación. El fundamento reside en la falta de cobertura legal de la pretensión del actor, ya que el art. 174 LGSS, al regular el reconocimiento de la prestación de viudedad, no contempla el supuesto litigioso, sin que sea posible el reconocimiento a las parejas de hecho. Indica que la cuestión ha sido reiteradamente abordada por el Tribunal Constitucional y el Tribunal Supremo en el sentido resuelto por la Sentencia de instancia, estableciendo que al no ser equiparables para el reconocimiento de la pensión de viudedad las situaciones de convivencia more uxorio con la derivada de una convivencia matrimonial, no pueden asimilarse ambas situaciones ni siquiera en uso del criterio interpretativo sociológico que facilita el artículo 3.1 del Código civil. La diferencia entre el caso ahora examinado y los supuestos enjuiciados por la jurisprudencia estriba en que el actor no pudo contraer matrimonio por impedirlo la legislación hasta la reforma del Código civil llevada a cabo por la ley 13/2005 de 1 de julio; sin embargo, concluye que tal cambio legislativo no afecta a quienes con anterioridad a su entrada en vigor no pudieron contraer matrimonio por impedirlo la legislación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del recurso de amparo constitucional aduce el recurrente que se ha vulnerado su derecho fundamental a la igualdad y a la no discriminación (art. 14 CE) en relación con los arts. 39.1 y 41 CE. A su juicio, la denegación de la pensión de viudedad supone una vulneración del art. 14 CE, dándose un trato discriminatorio en relación a la situación prevista en la Ley 10/1981 para las parejas que no pudieron contraer matrimonio por no haberse aprobado el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alega que debe realizarse una interpretación extensiva del art. 174 LGSS, pues el art. 39.1 CE da un carácter amplio del concepto de familia y la pensión de viudedad es una prestación integrada en la protección social, económica y jurídica de la familia, amparada en dicho precepto constitucional. Todo ello, conforme al principio de igualdad en relación con el art. 39 CE, debería llevar a considerar que el recurrente debe ser incluido dentro del supuesto previsto en el art. 174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esas alegaciones, suplica que se deje sin efecto la Sentencia dictada por el Tribunal Superior de Justicia de Cataluña, de 10 de enero de 2007, y se declare que tras el fallecimiento de don Jaume Mallol, tiene derecho el recurrente a una pensión de viudedad con efectos de la fecha del fallecimiento del causante.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marzo de 2011, la Sala Segunda de este Tribunal acordó admitir a trámite la demanda y, a tenor de lo dispuesto en el art. 51 de la Ley Orgánica del Tribunal Constitucional (LOTC), requerir a la Sala de lo Social del Tribunal Superior de Justicia de Cataluña a fin de que en el plazo de diez días remitiera certificación o copia adverada de las actuaciones correspondientes al recurso de suplicación 7785-2005. En aquella misma providencia se acordó dirigir comunicación al Juzgado de lo Social núm. 22 de Barcelona, para que en igual plazo remitiera testimonio del procedimiento núm. 76-2005,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13 de abril de 2011 se tuvo por personado y parte al Letrado de la Administración de la Seguridad Social, en nombre y representación del INSS. Asimismo, se acordó,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12 de mayo de 2011 tuvo entrada en este Tribunal escrito del Letrado de la Administración de la Seguridad Social en el que considera que no procede otorgar el amparo por las siguientes razones: a) no se puede inferir la aplicación del régimen transitorio de la disposición adicional décima, regla segunda, de la Ley 30/1981, de 7 de julio, dado su carácter excepcional que impide interpretaciones flexibles y extensivas, y por regular un supuesto de hecho distinto al ahora contemplado, por lo que está plenamente justificada la falta de equiparación entre las personas a que iba dirigida la citada disposición adicional décima de la Ley 30/1981 respecto de aquellas a las que se dirige la Ley 13/2005; y b) el reconocimiento del derecho a las uniones de convivencia entre homosexuales requiere de previsión legal, y esa determinación legal se ha establecido en la Ley 13/2005, de 1 de julio, por la que se modifica el Código civil en materia de derecho a contraer matrimonio, sin efectos retroactivos, de modo que por disposición del artículo 2.3 del Código civil no puede aplicarse a la situación enjuiciada. En efecto, si bien aquella Ley 13/2005, de 1 de julio, está informada o presidida por el principio de igualdad, este principio no pugna con la existencia de un distinto tratamiento temporal de situaciones iguales motivado por la sucesión normativa, más cuando tampoco la legislación anterior a la reforma pugnaba con dicho principio, tal como estableció el Auto de 11 de julio de 1994. Por todo lo expuesto, concluye reconociendo que no se habría producido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registró su escrito de alegaciones el día 3 de junio de 2011, interesando la estimación del recurso de amparo. Tras recordar que el actor plantea en su demanda la vulneración del derecho a la igualdad no sólo como un mero supuesto de tratamiento diferenciado de una idéntica situación, sino además, como hipótesis específica de discriminación por razón de sexo, en tanto que causa contemplada expresamente en el art. 14 CE, aduce el carácter meramente legal de la regulación del matrimonio, lo que supone su configuración cambiante y diversa según la opción que en cada momento histórico haga explícita el legislador y por ello, la regulación contenida de la disposición adicional décima de la Ley 30/1981, de 7 de julio, al reconocer determinados efectos económicos a los miembros de aquellas uniones de hecho que hubieran podido contraer matrimonio hasta la fecha de su entrada en vigor, no supone el abstracto reconocimiento de un pretendido derecho al matrimonio, previo a la propia ley, sino meramente un nuevo entendimiento de la institución y asimismo la exposición de motivos de la Ley 13/2005 argumenta el carácter contingente de la regulación matrimonial que se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considera el Ministerio Fiscal que la comparación meramente formal de la situación prevista y resuelta por la disposición adicional citada de la Ley de 1981 y la situación derivada de la Ley de 2005, permite concluir que si el legislador ha reconocido con carácter retroactivo el derecho a una prestación de Seguridad Social en base a la existencia de una causa impeditiva del matrimonio, el supuesto planteado por el demandante de amparo resulta ser exactamente el mismo, ya que se trata también de una anterior causa impeditiva, que ahora ha desaparecido, por lo que desde este punto de vista postula el otorgamiento del amparo por lesión del derecho del actor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no presentó alegaciones en el trámite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julio de 2014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recurso de amparo se centra en determinar si procede estimar la pretensión del demandante que imputa a las resoluciones impugnadas la vulneración de sus derechos fundamentales a la igualdad y a la no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recurrente, la denegación de la pensión de viudedad a la persona supérstite de una pareja homosexual, que convivió ininterrumpidamente durante largos años con el fallecido como si de un matrimonio se tratase, supone una vulneración del art. 14 CE, al llevar consigo una desigualdad de trato respecto de las parejas heterosexuales, y por tanto una discriminación por exclusiva razón de sexo o por cualquier otra condición o circunstancia personal o social, toda vez que al no existir en aquel momento posibilidad legal de contraer matrimonio entre personas del mismo sexo las parejas estables homosexuales nunca podían encontrarse en la situación legal del art. 174 LGSS, en la medida en que dicho precepto sólo reconoce la pensión de viudedad al cónyuge supérstite y solicita la aplicación de la disposición adicional décima de la Ley 30/1981 por analogía de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Instituto Nacional de la Seguridad Social (INSS) interesa la desestimación del recurso de amparo, mientras que el Ministerio Fiscal solicita su estimación, de acuerdo con las razones que han sido recogidas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la cuestión planteada, debemos remitirnos a lo dicho por este Tribunal en la reciente Sentencia 92/2014, de 10 de junio, que resolvió la cuestión interna de inconstitucionalidad núm. 693-2013, ante las dudas de constitucionalidad sobre el art. 174 de la Ley general de la Seguridad Social (LGSS) en relación a la prohibición de discriminación contenida en el art. 14 CE, y en la posterior STC 93/2014, de 12 de junio, al resolver el recurso de amparo avocado al Pleno núm. 6704-2004.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artículo 174 de la Ley General de la Seguridad Social, en la redacción dada por el art. 32.1 de la Ley 50/1998, de 30 de diciembre,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 derecho a la pensión de viudedad, con carácter vitalicio, salvo que se produzca alguno de los casos de extinción que legal o reglamentariamente se establezcan, el cónyuge superviviente cuando, al fallecimiento de su cónyuge, éste, si al fallecer se encontrase en alta o situación asimilada a la de alta, hubiera completado el período de cotización que reglamentariamente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causa de su muerte fuese un accidente, sea o no de trabajo, o una enfermedad profesional, no se exigirá ningún período previo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también tendrá derecho a la pensión de viudedad el cónyuge superviviente aunque el causante, a la fecha de fallecimiento, no se encontrase en alta o en situación asimilada a la de alta, siempre que el mismo hubiera completado un período mínimo de cotización de quince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Señalamos en la STC 92/2014, de 10 de junio, FJ 5, que “la eventual contradicción, por parte del precepto sometido a nuestro enjuiciamiento, con el derecho a la no discriminación por razón de orientación sexual que proscribe el segundo inciso del artículo 14 CE, se circunscribe a un aspecto concreto, cual es que solamente los cónyuges podrían ser beneficiarios de la pensión de viudedad y, en consecuencia, a los miembros de parejas de hecho homosexuales les estaba vedado acceder a esa prestación, puesto que, con anterioridad a la entrada en vigor de la Ley 13/2005, aquéllos no podían contraer vínculo matrimonial”. En ese mismo fundamento recordamos que “la posibilidad de contraer o no matrimonio ha sido un aspecto de especial significación para la doctrina constitucional, a la hora de enjuiciar supuestos en que el ordenamiento jurídico brindaba a los cónyuges un tratamiento más favorable que el dispensado a las parejas de hecho, incluidos los casos relacionados con prestaciones de la Seguridad Social”, destacando que las diferencias entre una y otra situación podían “ser legítimamente tomadas en consideración por el legislador a la hora de regular las pensiones de supervivencia” (STC 184/1990, de 15 de noviembre, FJ 3), “pero también que la existencia de libertad para contraer matrimonio es un factor que permite justificar, adicionalmente, ese distinto tratamiento (por todas, STC 184/1990, de 15 de noviembre, y más recientemente AATC 188/2003, de 3 de junio, 47/2004, de 10 de febrero, 77/2004, de 9 de marzo, 177/2004, de 11 de mayo, o 203/2005,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implica, sin embargo, que “en cualquier situación en que los convivientes more uxorio se vean impedidos de contraer matrimonio, tal eventualidad deba engendrar una obligación, a cargo de los poderes públicos, de brindar a los miembros de parejas de hecho un tratamiento jurídico equiparado al previsto para los cónyuges pues, en caso de no existir tal libertad, es necesario valorar si la causa impeditiva del matrimonio pugna con los principios y reglas constitucionales, de manera que este Tribunal deberá comprobar si las causas que hipotéticamente lo impiden resultan constitucionalmente admisibles”, conclusión que se fundamenta en la doctrina de la STC 180/2001, de 17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fundamento jurídico 6 de la STC 92/2014, ya citada, examinamos si la causa que en aquel supuesto limitaba la libertad de contraer el vínculo matrimonial era una causa que pugnaba con los principios y reglas constitucionales. Así, con cita del ATC 222/1994, de 11 de julio, señalamos que “la exigencia del vínculo matrimonial como presupuesto para acceder a la pensión de viudedad establecida dentro del sistema de Seguridad Social no pugna con el art. 14 CE, ni tampoco las medidas de los poderes públicos que otorguen un trato distinto y más favorable a la unidad familiar basada en el matrimonio que a otras unidades convencionales (SSTC 184/1990 y 66/1994)”, a la par que recalcamos el amplio margen de apreciación y configuración del legislador en cuanto al régimen de prestaciones económicas de la Seguridad Social y las situaciones que han de considerarse merecedoras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indicamos que “dentro de ese amplio margen de apreciación, el legislador en la LGSS de 1994 decidió perfilar una pensión de viudedad que si bien, como este Tribunal ha tenido ocasión de señalar, no responde a la existencia de una situación de necesidad, sino ‘a la compensación de un daño cual es la falta o minoración de unos ingresos de los que participaba el cónyuge supérstite y, en general, afrontar las repercusiones económicas causadas por la actualización de una contingencia (la muerte de uno de los cónyuges)’” (STC 41/2013, de 14 de febrero, FJ 4) se restringe a los supuestos en los que existe un vínculo matrimonial entre causante y beneficiario como forma singular de protección de la unión familiar que cumple con determinados requisitos legales, que son los del matrimonio. No estaba, pues, entonces concebida la pensión de viudedad como una institución llamada, sin más, a compensar el daño de la minoración de ingresos sufrida por el superviviente de una pareja, sino a compensar ese daño cuando se producía en el ámbito de la familia sustentada en el previo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anterior, señalaba la doctrina de este Tribunal que: a) las uniones de hecho heterosexuales resultaban excluidas del acceso a la pensión porque pudiendo acceder al matrimonio decidían libremente no hacerlo y, por tanto, no cumplir con los requisitos legales, debiendo asumir las consecuencias de ello (STC 184/1990, de 15 de noviembre, FJ 1) y b) las uniones homosexuales quedaban fuera de la esfera de protección porque la configuración del matrimonio en aquel momento era una configuración tradicional del mismo, que respondía a la idea de que las uniones homosexuales y heterosexuales tenían una funcionalidad distinta dentro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a estos efectos que el fallecimiento del causante se produjo el 16 de agosto de 2004, de forma similar al caso contemplado en la STC 92/2014, de 10 de junio, y como tuvimos ocasión de señalar, la extensión de la pensión de viudedad a quienes convivían de forma estable extramatrimonialmente estaba lejos de ser la pauta en la legislación internacional y en el Derecho comparado en aquel momento [STC 184/1990, de 15 de noviembre (FJ 5)]. Es más, el Tribunal Europeo de Derechos Humanos que tuvo ocasión de pronunciarse, en el caso Mata Estévez c. España, sobre la conformidad al derecho a la igualdad y a la no discriminación del sistema español que vinculaba el acceso a la pensión de viudedad a la previa existencia de vínculo matrimonial, afirmó, en su sentencia de 10 de mayo de 2001, que tal regulación no era discriminatoria puesto que perseguía un fin legítimo —“a saber, la protección de la familia fundada en los vínculos del matrimonio”— y existía una relación razonable de proporcionalidad entre los medios empleados y el fin en cuestión. El Tribunal estimó que el trato diferenciado dispensado a las relaciones homosexuales entraba dentro del legítimo margen de apreciación del Estado y esta valoración la ha reiterado más recientemente, en su Sentencia de 24 de junio de 2010 (caso Schalk and Kopf c. Austria, § 108), en la que ante la alegación de los demandantes de que si un Estado ofrece a las parejas de un mismo sexo un medio de reconocimiento alternativo al matrimonio, está obligado a otorgarles un estatus que se corresponda a todos los efectos con el propio de la institución matrimonial, el Tribunal afirma no compartir ese argumento, al entender que “los Estados disfrutan de un cierto margen de apreciación respecto de la situación concreta derivada de los medios alternativos de reconocimiento”.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corresponde al legislador decidir, al hilo de los cambios sociales, cuál es el momento en que procede extender la pensión de viudedad a otros supuestos y con qué alcance. Así lo ha hecho tanto con la regulación del matrimonio homosexual en la Ley 13/2005, de 1 de julio, por la que se modifica el Código civil en materia de derecho a contraer matrimonio, lo que permite a los cónyuges supervivientes de matrimonios homosexuales solicitar la correspondiente pensión de viudedad, como con la Ley 40/2007, de 4 de diciembre, que extiende este beneficio, con ciertas limitaciones y requisitos, a todas las parejas de hecho estables, tanto heterosexuales como homosexuales, previendo, además, en su disposición adicional tercera, su aplicación a situaciones acaecidas con anterioridad a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decisión de política legislativa ciertamente legítima (STC 41/2013, FJ 3), como también lo era, no obstante, la anterior, que ninguna tacha ofrecía, por las razones ya expuestas, desde la perspectiva del art. 14 CE, decisión de política legislativa que asimismo implica la no extensión analógica de la disposición adicional décima de la Ley 30/1981, ante la inexistencia de una disposición similar en la Ley 13/2005 dirigida a parejas homosexuales que no pudieron contraer matrimonio. Además en el momento del fallecimiento del causante, el 16 de agosto de 2004, las normas reguladoras de la pensión de viudedad (arts. 44 del Código civil y 174.1 LGSS) exigían como requisito para su percepción el vínculo matrimonial, sin olvidar que las personas afectadas por la disposición adicional décima eran las parejas de hecho heterosexuales, siendo la finalidad de tal disposición atender a situaciones en que cabía presumir la intención del sujeto causante de haber contraído matrimonio con la beneficiaria de haber existido la Ley del divorcio, presunción que se fundaba en dos hechos: abandono del cónyuge legítimo y convivencia marital con otra persona. Como indicaba el Auto 457/2004 de 16 de noviembre: “Se trataba, pues, de una regulación provisional, que buscaba poner remedio a situaciones pasadas, pero no albergaba el propósito de regular para el futuro y con carácter general el acceso a la pensión de viudedad de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precedentes conducen a la conclusión de la inexistencia de lesión del derecho fundamental del art. 14 CE que pueda entenderse producida por las resoluciones administrativas y judiciales que denegaron la solicitud de pensión de viudedad formulada por el actor, por lo que el recurso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desestimación del presente recurso de amparo debemos añadir que eliminado el requisito contenido en el apartado c) de la disposición adicional tercera de la Ley 40/2007 por nuestra Sentencia 41/2013, antes citada, queda a salvo para el solicitante de amparo la facultad de reclamar el reconocimiento de la prestación allí regulada, previa acreditación del cumplimiento de los restantes requisitos legalmente exigibles, pues si bien es cierto que en dicha Sentencia afirmamos que la declaración de nulidad que en ella hicimos “no permite que quienes, por no haber tenido hijos en común con el causante, no solicitaron la pensión de viudedad prevista en la disposición adicional tercera de la Ley 40/2007 en el plazo de doce meses siguientes a la entrada en vigor de dicha Ley, puedan reclamar ahora la pensión”. Esta declaración se formuló en atención a quienes teniendo en cuenta lo dispuesto en dicha ley no cuestionaron su aplicación de la misma manera que la declaración que dicha Sentencia hace a continuación respecto a que la nulidad acordada no permite, claro está, revisar procesos fenecidos mediante Sentencia de cosa juzgada en los que se haya hecho aplicación de lo dispuesto en la letra c) de la referida disposición adicional, supone un aquietamiento frente a una decisión jurisdiccional contra la que habrían podido recurrir en amparo aduciendo los mismos motivos que determinaron su anulación por nuestra Sentencia 41/2013.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 mismo, esas razones no pueden oponerse en el supuesto contemplado en este recurso de amparo en el que el recurrente sí acudió a este Tribunal en una fecha anterior a la promulgación de la Ley 40/2007, aduciendo unos motivos que, de haber prosperado, habrían hecho innecesaria la reacción frente a esta última Ley, por lo que es razonable suponer que el abandono de las vías posibles de reacción contra ella no se debió a la aceptación pasiva de su contenido sino a la razonable esperanza de que el recurso de amparo interpuesto por él hubiera sido resuelto de un modo favorable a sus intereses o que en caso de que hubiera sido desfavorable, el recurso se hubiera resuelto en un plazo en que quedaran al menos abiertas las vías para reaccionar frente a la previsión contenida en la disposición adicional tercera de la Ley 40/2007.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Miguel Bellido Valenzuela.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1326-2007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debo manifestar mi discrepancia con la Sentencia dictada.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Puesto que la desestimación del recurso de amparo se basa en la argumentación plasmada en la STC 92/2014, de 10 de junio, en la que el Pleno de este Tribunal ha desestimado la cuestión interna de inconstitucionalidad núm. 693-2013, me remito a los argumentos expuestos en el Voto particular formulado por don Luis Ignacio Ortega Álvarez a dicha Sentencia al que entonces me adherí, que, a fin de evitar repeticiones innecesarias, doy aquí por reproducido.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