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196</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17 de julio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Sentencia de la Sala de lo Contencioso-Administrativo del Tribunal Supremo en recurso de casación 677-2011, contra la Sentencia dictada por la Audiencia Nacional en recurso 35-2008.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17 de julio de 2014, el Magistrado don Ricardo Enríquez Sancho comunicó a los efectos oportunos que se abstenía de intervenir en el antes indicado recurso de amparo, de conformidad con el art. 80 de la Ley Orgánica del Tribunal Constitucional, por haber formado parte de la Sección Primera de la Sala Tercera del Tribunal Supremo, que dictó el Auto de 29 de septiembre de 2011, resolución impugnada en el presente recurso de amparo número 3045-2012.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Ricardo Enríquez Sancho, Magistrado de esta Sala Segunda del Tribunal Constitucional, la Sala, en virtud de lo previsto en el art. 219.11 de la Ley Orgánica del Poder Judicial, supletoria de la Ley Orgánica del Tribunal Constitucional (art. 80), estima justificada la causa de abstención formulada, puesto que el mencionado Magistrado formó parte de la Sección Primera de la Sala Tercera del Tribunal Supremo, que dictó el Auto de 29 de septiembre de 2011, en el recurso de casación número 677-2011, que ha sido impugnado en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Ricardo Enríquez Sancho en el recurso de amparo número 3045-2012,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