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15 de noviembre de 2011 y Auto de 27 de diciembre de 2012 dictados por la Sección Cuarta de la Sala Tercera de lo Contencioso-Administrativo del Tribunal Supremo en el recurso de casación núm. 4344-2009 interpuesto contra la Sentencia de 28 de abril de 2009 dictada por la Sección Primera de la Sala de lo Contencioso-Administrativo del Tribunal Superior de Justicia de Murcia en los recursos contencioso-administrativos núms. 2611-2003 y 2764-2003,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septiembre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Tercera, de lo Contencioso-Administrativo del Tribunal Supremo que dictó la Sentencia de 15 de noviembre de 2011 y el Auto de 27 de diciembre de 2012, resoluciones impugnadas en el presente recurso de amparo núm. 1171-2013.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Tercera de lo Contencioso-Administrativo del Tribunal Supremo que dictó la Sentencia de 15 de noviembre de 2011 y el Auto de 27 de diciembre de 2012, resoluciones que han sido impugnadas en el presente recurso de amparo núm. 1171-2013.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1171-2013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