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18 de julio de 2013 dictado por la Sección Primera de la Sala Tercera, de lo Contencioso-Administrativo del Tribunal Supremo en el recurso de casación núm. 357-2013, Auto que declaró la inadmisión del recurso de casación interpuesto contra la Sentencia de 9 de noviembre de 2012, dictada por la Sección Primera de la Sala de lo Contencioso-Administrativo de la Audiencia Nacional en el recurso 933-2010.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 de septiembre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 lo Contencioso-Administrativo del Tribunal Supremo que dictó el Auto de 18 de julio de 2013, resolución impugnada en el presente recurso de amparo núm. 6233-2013.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 lo Contencioso-Administrativo del Tribunal Supremo que dictó el Auto de18 de julio de 2013, resolución que ha sido impugnada en el presente recurso de amparo núm. 6233-2013.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6233-2013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