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marzo de 2013, doña Olga Romojaro Casado, Procuradora de los Tribunales y de don Sergio Benítez Moriana, interpuso recurso de amparo contra la Sentencia de la Audiencia Provincial de Teruel, de 29 de enero de 2013, recaída en recurso de apelación núm. 44-2012, contra la dictada por el Juzgado de lo Penal núm. 1 de Teruel en procedimiento abreviado núm. 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Penal núm. 1 de Teruel dictó Sentencia, con fecha 10 de julio de 2012, condenando al hoy demandante de amparo y a otra persona “como autores de un delito de injurias graves hechas con publicidad de los artículos 208, 209, 211 y siguientes del Código Penal, a la pena, a cada uno de ellos, de multa de diez meses a razón de una cuota diaria de ocho euros, con la responsabilidad personal subsidiaria en caso de impago de un día de privación de libertad por cada dos cuotas no satisfechas y a la publicación de la sentencia a su cargo en el mismo medio. Asimismo se les condena, en concepto de responsabilidad civil, a indemnizar cada uno de ellos a Doña M. E. M. por los daños morales sufridos en la cantidad de tres mil euros, siendo responsables solidarios, más los intereses legalmente devengados a tenor de lo dispuesto en el artículo 576 de la Ley de Enjuiciamiento Civil. Con expresa imposición de la mitad de las costas a cada uno de los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hechos que dan origen a la condena se refieren a la publicación, el día 11 de marzo de 2010, del texto firmado por los recurrentes en el apartado de “cartas al Director” del Diario de Teruel, con motivo de la Sentencia núm. 166/2009 emitida por el Juzgado de lo Contencioso-Administrativo de Teruel en el pleito entre la empresa WBB-SIBELCO y el Ayuntamiento de Aguilar del Alfambra: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“CARTA ABIERTA LA SRA. MARÍA ELENA MARCÉN MAZA, MAGISTRADO-JUEZ DEL JUZGADO DE LO CONTENCIOSO-ADMINISTRATIVO DE TERUEL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Sra. Marcén: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motivo de la sentencia n. 166/2009 emitida por su juzgado en el pleito entre la empresa WBB-SIBELCO y el Ayuntamiento de Aguilar del Alfambra, que acatamos aunque que de ningún modo sea justa, ha demostrado parcialidad y falta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demuestra que no ha querido saber nada de las cuestiones técnicas que estaba juzgando. Ha sobreentendido gratuitamente la independencia e imparcialidad del perito encargado de evaluar el proyecto por obviar sus aberraciones técnicas y metodológicas. No se ha planteado si podía haber algo de dudoso en el peritaje de alguien que no ha aparecido por Aguilar y ha usado en exclusiva materiales y documentación proporcionados por WBB-SIBELCO.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los argumentos con los que deslegitima al Ayuntamiento no los ha usado con WBB-SIBELCO, a pesar de ser equivalentes. El primer fundamento de su sentencia es la desacreditación del informe del Ayuntamiento redactado por un arquitecto urbanista y una abogada urbanista por no ser ingenieros de minas. Sin embargo, da por buenos los de un aparejador que nadie sabe de dónde ha salido, que no se ha leído la normativa urbanística de Aguilar y que carece de competencia para pronunciarse sobre temas urbanísticos, pero que da la razón a WBB-SIBELCO.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desacredita el Informe por el vínculo familiar de uno de sus autores con un portavoz de esta Plataforma. Lo inaceptable es que calla que la constitución de esta Plataforma y su elección de cargos fue muy posterior a la elaboración del Informe. Lo intolerable es que acepta por incuestionables los argumentos de un testigo, López Jimeno, que reconoció su amistad con el presidente de WBB-SIBELCO y que para más escarnio mintió en la vista oral, de lo cual usted tiene pruebas documentales.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su triste labor no ha quedado ahí. Usted desconoce jurisprudencia que hace al caso y, lo que es peor, se ha lavado escandalosamente las manos porque ha tenido en su poder pruebas de contradicción documental en su peritaje, y no ha hecho nada. E incluso no se le ha movido ni un pelo ante el hecho de que su perito dejara en blanco una cuestión que usted planteaba.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Usted, Sra. Jueza, representa a un poder del Estado. Sus decisiones condicionan la vida de la gente, o, en este caso, de todo un pueblo que asistió a presenciar la vista (seguro que en la vida había visto llena su sala). Una gente que esperaba en vilo su sentencia y que hubiera merecido rigor y seriedad. Que usted hubiera hecho un trabajo concienzudo para llegar a unas conclusiones equilibradas. Pero no ha querido complicarse la vida con asuntos técnicos, los ha ignorado. Y da la impresión de haber sentenciado primero y construido la argumentación después, sustentándolo en la apariencia salomónica de un peritaje lacayo. Sra. Marcén, usted representa a un poder, pero no a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(Fdo.: Sergio Benítez Moriana e Ivo Aragón, portavoces de la Plataforma Aguilar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apelación fue desestimado por Sentencia de 29 de enero de 2013 de la Sección Primera de la Audiencia Provincial de Teruel, que confirmó íntegramente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demanda de amparo se alega que las resoluciones judiciales recurridas vulneran los derechos a la libertad de expresión del artículo 20.1 a) CE y a la libertad de información del artículo 20.1 d) CE, aduciendo que las dos instancias no han realizado adecuadamente la ponderación exigible entre los derechos invocados y el derecho al honor garantizado en el artículo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demanda se solicita por otrosí, de acuerdo con lo previsto en el art. 56.2 de la Ley Orgánica del Tribunal Constitucional (LOTC), la suspensión de la ejecución de la Sentencia recurrida hasta que no se resuelva el recurso de amparo, al entender que la no suspensión acarrearía perjuicios irreparables para el recurrente y, al contrario, la suspensión no afectaría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8 de septiembre de 2014, la Sección Primera del Tribunal Constitucional acordó la admisión a trámite del recurso de amparo y ordenó que se formase la presente pieza separada de suspensión, concediendo, de conformidad con lo dispuesto en el art. 56 LOTC, un plazo común de tres días al Ministerio Fiscal y a los recurrentes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en amparo, mediante escrito registrado con fecha 17 de septiembre de 2014, reiteran su solicitud de suspensión hasta que este Tribunal se pronuncie sobre el amparo. En este sentido exponen que, conforme a la jurisprudencia de este Tribunal dictada en el ATC 319/2005, de 12 de septiembre, procede la suspensión interesada, puesto que la publicación de la Sentencia condenatoria causaría un perjuicio irreparable y podría hacer perder al amparo su finalidad, sin que la suspensión implique una grave perturbación de los intereses generales, ni de los derechos del tercero, pues sólo supondría, en su caso, un aplazamiento en la satisfacción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23 de septiembre de 2014, en el que expone, de conformidad con reiterada doctrina de este Tribunal, que en el caso que nos ocupa la ejecución de las Sentencias impugnadas puede entrañar un perjuicio irreparable en la parte relativa a la publicación en la prensa de la condena contenida en las sentencias dictadas, de modo que en caso de que fueran anuladas en esta vía de amparo, resultaría imposible enmendar el perjuicio ocasionado a las recurrentes, pues la difusión pública de su contenido no se vería en modo alguno enmendado por la resolución que en su caso este Tribunal dictase otorgando el amparo. Por el contrario, la suspensión no acarrearía graves consecuencias a la otra parte, ni a los intereses generales, pues la reparación de quien ha obtenido en el proceso una sentencia favorable sólo queda temporalmente aplazada.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Fiscal estima procedente que se acuerde la suspensión de la resolución impugnada en el concreto aspecto interesado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de la Ley Orgánica del Tribunal Constitucional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de 26 de enero, 186/1998, de 14 de septiembre, y 99/2002, de 5 de junio), salvo que el demandante acredite suficientemente la irreparabilidad que para sus derechos fundamentales pudiera tener la ejecución del fallo, privando al amparo de su finalidad (AATC 51/1989, de 30 de enero, 420/1997, de 22 de diciembre, y 319/2005, de 12 de septiembre, entre otros muchos). Por perjuicio irreparable hemos entendido aquel que provoque que el restablecimiento del recurrente en el derecho constitucional vulnerado sea tardío e impida su efectiva restauración (AATC 20/1992, de 27 de enero, 9/2003, de 20 de enero, y 319/2005, de 12 de septiembre,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este Tribunal viene apreciando que la ejecución de la condena a la publicación de la parte dispositiva de una sentencia, en cuanto implica la difusión de la misma cuando aún está pendiente la resolución del recurso de amparo, es susceptible de ocasionar un perjuicio irreparable que haría perder al amparo su finalidad, caso de otorgarse posteriormente éste (AATC 18/2001, de 29 de enero, 44/2001, de 26 de febrero, 7/2002, de 28 de enero, y 319/2005, de 12 de septiembre, entre otros). Y también hemos declarado reiteradamente, desde el ATC 239/1990, de 4 de junio, que la suspensión de la ejecución de las Sentencias impugnadas, sólo en este extremo, no afecta a los intereses generales y, si bien supone un aplazamiento de la satisfacción de los derechos de un tercero, no representa una desaparición ni una perturbación grave de los mismos, que quedan únicamente pendientes de resolución última del Tribunal Constitucional (por todos, los ya citados AATC 18/2001, 7/2002, y 319/2005).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señalan tanto la representación procesal del recurrente como el Ministerio Fiscal, es evidente el perjuicio que se producirían con la difusión del fallo condenatorio, difícilmente reparable con posterioridad en caso de que se otorgara el amparo, sin que la suspensión de la ejecución en este extremo produzca, de otra parte, afectación grave de los intereses generales y sólo el aplazamiento de la eventual satisfacción del derecho de un tercero, que quedará pendiente de la definitiva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las resoluciones judiciales impugnadas, exclusivamente en lo referido a la publicación o divulgación de la Sentencia condenatoria en los términos en ella establecidos.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