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11 de febrero de 2011 dictada por la Sección Séptima de la Sala Tercera de lo Contencioso-Administrativo del Tribunal Supremo en el recurso de casación núm. 1338-.2010 interpuesto contra Sentencia de 16 de octubre de 2009 dictada por la Sección Tercera de la Sala de lo Contencioso-Administrativo del Tribunal Superior de Justicia de Castilla y León en el recurso núm. 2493-2008.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15 de octubre de 2014 el Magistrado don Antonio Narváez Rodríguez comunicó a los efectos oportunos que se abstenía de intervenir en el antes indicado recurso de amparo, de conformidad con el art. 80 de la Ley Orgánica del Tribunal Constitucional, por haber intervenido en representación del Ministerio Fiscal en el recurso de casación núm. 1338-2010 del que trae causa el presente recurso de amparo núm. 1247-2011.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Antonio Narváez Rodríguez Magistrado de esta Sección Cuarta del Tribunal Constitucional, la Sección, en virtud de lo previsto en el art. 219. 13 y 16 de la Ley Orgánica del Poder Judicial, supletoria de la Ley Orgánica del Tribunal Constitucional (art. 80), estima justificada la causa de abstención formulada, puesto que el mencionado Magistrado intervino en representación del Ministerio Fiscal en el recurso de casación núm. 1338-2010 seguido en la Sección Séptima de la Sala Tercera de lo Contencioso-Administrativo del Tribunal Supremo que dictó la Sentencia de11 de febrero de 2011, resolución que ha sido impugnada en el presente recurso de amparo núm.1247-2011.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Antonio Narváez Rodríguez en el recurso de amparo núm. 1247-2011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