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29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de la Sala de lo Contencioso-Administrativo del Tribunal Supremo en recurso de casación 3234-2010, contra la Sentencia dictada por la Sección Tercera de la Sala de lo Contencioso-Administrativo del Tribunal Superior de Justicia de Castilla y León en recurso 2480-2008.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27 de octubre de 2014,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Tercera del Tribunal Supremo, que dictó la Sentencia de 31 de marzo de 2011, resolución impugnada en el presente recurso de amparo número 2737-2011.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Tercera del Tribunal Supremo, que dictó la Sentencia de 31 de marzo de 2011, en el recurso de casación número 3234-2010,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número 2737-2011,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