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6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la Sala de lo Contencioso-Administrativo del Tribunal Supremo, de 26 de enero de 2012, por el que se inadmitió el recurso de casación núm. 1495-2011, promovido a su vez contra la Sentencia de 16 de febrero de 2011, de la Sección Segunda de la Sala de lo Contencioso-Administrativo de la Audiencia Nacional, recaída en el recurso núm. 56-2008.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4 de noviembre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26 de enero de 2012, resolución impugnada en el presente recurso de amparo número 2604-2012.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Sala Segunda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26 de enero de 2012, en el recurso de casación número núm. 1495-2011,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número 2604-2012,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