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de lo Contencioso-Administrativo del Tribunal Supremo, de 10 de noviembre de 2011, por el que se inadmitió el recurso de casación núm. 2933-2010, promovido a su vez contra la Sentencia de 15 de abril de 2010, de la Sección Segunda de la Sala de lo Contencioso-Administrativo de la Audiencia Nacional, recaída en el recurso núm. 439-2007.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10 de noviembre de 2011, resolución impugnada en el presente recurso de amparo número 5157-2012.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10 de noviembre de 2011, en el recurso de casación núm. 2933-2010,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5157-2012,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