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17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diciembre de 2013, doña Nuria Corona Segura, representada por la Procuradora de los Tribunales doña María Luisa Noya Otero y asistida por el Letrado don Antonio Rengel Burgos, interpuso recurso de amparo contra el Auto dictado el 18 de noviembre de 2013 por el Juzgado de Primera Instancia e Instrucción núm. 2 de Écija, que desestimó la petición de nulidad de actuaciones promovida en el proceso de ejecución hipotecaria núm. 1030-2012.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obtener la tutela judicial efectiva sin indefensión (art. 24.1 CE), al no haber sido emplazada ni requerida de pago la demandante en su domicilio real, aduciéndose que la entidad ejecutante ocultó dicho domicilio sin que el órgano jurisdiccional realizara ninguna diligencia previa a la comunicación edictal, por lo que solicita que se dicte sentencia declarando la vulneración del citado derecho fundamental del art. 24.1 CE y, en consecuencia, anular el Auto de 18 de noviembre de 2013 recurrido, con retroacción de actuaciones al momento del emplazamiento y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56.3 de la Ley Orgánica del Tribunal Constitucional (LOTC), la demandante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la admisión a trámite de la demanda de amparo por providencia de fecha 23 de octubre de 2014 y formar la correspondiente pieza separada de suspensión. De conformidad con lo previsto en el art. 56 LOTC, se concedió un plazo común de tres días al Ministerio Fiscal y a la parte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recurrente presentó escrito el 31 de octubre de 2014, en el que solicita que se le otorgue la suspensión, afirmando que, de no acordarse, se producirían perjuicios irreparables pues si se pone en posesión a la entidad ejecutante de la finca subastada devendría ineficaz una posible resolución favorable al actor en el recurso de amparo, perdiendo su finalidad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 escrito de alegaciones en fecha 5 de noviembre de 2014, en el que interesa que se dicte Auto acordando la suspensión de la resolución recurrida en la demanda de amparo, en aplicación de la doctrina contenida, entre otros, en los AATC 56/2013, 74/2013 y 37/2014, pues la efectiva adjudicación de la finca subastada a la entidad ejecutante provocaría una situación de muy difícil o imposible reparación para el caso de una eventual estimación del presente recurso de amparo. Asimismo, el Fiscal interesa que se acuerde la medida cautelar de anotación preventiva de la demanda en el Registro de la Propiedad como complemento de la medida de suspensión, con el fin de garantizar el derecho de la demandante de amparo frente a eventuales y futuros actos de disposición del bien hipotecado.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pieza cautelar de suspensión consiste en analizar su procedencia, en relación con las actuaciones seguidas ante el Juzgado de Primera Instancia e Instrucción núm. 2 de Écija, en el procedimiento de ejecución hipotecaria núm. 1030-2012 de las que dimana el Auto recurrido en amparo, de fecha 18 de noviembre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solicita la suspensión del apremio y este Tribunal viene reiterando que, en los supuestos en que la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es viable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(por todos, AATC 220/2008, de 14 de julio, FJ 2; 64/2009, de 23 de febrero, FJ 2; 56/2013, de 25 de febrero, FJ 2; 287/2013, de 16 de diciembre, FJ 2; y 37/2014, de 10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solicita la anulación del Auto de fecha 18 de noviembre de 2013 que desestimó el incidente de nulidad de actuaciones que planteó la demandantes, así como la de todos los actos procesales desde el emplazamiento y requerimiento de pago. En función de ello, la suspensión interesada trasciende de la resolución formalmente impugnada, que era el Auto desestimatorio del incidente de nulidad de actuaciones y la medida que la parte actora pretende es la retroacción de actuaciones y una nueva tramitación del proceso de ejecución hipotecaria desde su inicio.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estas circunstancias, si no se adoptase una medida cautelar se podría materializar la transmisión del dominio de las fincas a favor de la entidad ejecutante, a quien han sido adjudicadas conforme al art. 671 de la Ley de enjuiciamiento civil, estando pendiente su puesta en posesión o entrega, con la consiguiente creación de una situación difícilmente reversible que menoscabaría los fines del presente recurso. Por otra parte, no se percibe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debe acordarse la solicitud de anotación preventiva de la demanda formulada por el Fiscal, en coherencia con la doctrina jurisprudencial de este Tribunal que subraya: “Cuando como en el presente caso se solicita como medida cautelar la anotación preventiva de la demanda de amparo en el Registro de la Propiedad, hemos señalado en ocasiones precedentes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existe título de adjudicación de las fincas a favor de la entidad ejecutante, estando únicamente pendiente su entrega o puesta en posesión, según se alega, de manera que la medida instada cumple el fin de garantizar el derecho de la demandante de amparo frente a eventuales actos de disposición, mediante el anuncio registral frente a terceros de la pendencia del proceso constitucional con sus eventuales consecuencias sobre los derechos inscritos.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expuestos, de conformidad con la doctrina expuesta, y sin prejuzgar la decisión de fondo del recurso, conducen a acordar la suspensión solicitada, que ha de entenderse referida concretamente a la entrega de las fincas adjudicadas a favor de la entidad ejecutante en el procedimiento ejecutivo núm. 1030-2012, y ordenar la anotación preventiva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entrega de las fincas adjudicadas a la entidad ejecutante en el procedimiento de ejecución hipotecaria núm. 1030-2012 seguido en el Juzgado de Primera Instancia e Instrucción núm. 2 de Écija.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