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18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de la Sala de lo Contencioso-Administrativo del Tribunal Supremo en recurso de casación 3202-2010, contra la Sentencia dictada por la Sección Tercera de la Sala de lo Contencioso-Administrativo del Tribunal Superior de Justicia de Castilla y León en recurso 2189-2008.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17 de noviembre de 2014,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Tercera del Tribunal Supremo, que dictó la Sentencia de 17 de marzo de 2011, resolución impugnada en el presente recurso de amparo núm. 2385-2011.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Tercera del Tribunal Supremo, que dictó la Sentencia de 17 de marzo de 2011, en el recurso de casación número 3202-2010,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número 2385-2011,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