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18 de noviembre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20 de diciembre de 2012 y providencia de 12 de marzo de 2013 dictados por la Sección Primera de la Sala Tercera de lo Contencioso-Administrativo del Tribunal Supremo en recurso de casación núm. 1553-2012.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18 de noviembre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20 de diciembre de 2012 en el recurso de casación núm. 1553-2012, resolución impugnada en el presente recurso de amparo núm. 2649-2013.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20 de diciembre de 2012, en el recurso de casación núm. 1553-2012 que ha sido impugnado en el presente recurso de amparo 2649-2013.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2649-2013,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