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Sentencia de la Sala de lo Contencioso-Administrativo del Tribunal Supremo en recurso de casación 4152-2100, contra la Sentencia dictada por la Sección Primera de la Sala de lo Contencioso-Administrativo de la Audiencia Nacional en recurso núm. 18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5 de diciembre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7 de marzo de 2011, resolución que forma parte del fundamento de derecho segundo de la Sentencia impugnada en el presente recurso de amparo núm. 2815-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7 de marzo de 2011, resolución que forma parte del fundamento de derecho segundo de la Sentencia impugnada en el presente recurso de casación objet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2815-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