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19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el Auto de 18 de julio de 2013 dictado por la Sección Primera de la Sala de lo Contencioso-Administrativo del Tribunal Supremo en recurso de casación núm. 1311-2013 interpuesto contra la Sentencia dictada el 3 de diciembre de 2012 por la Sección Segunda de la Sala de lo Contencioso-Administrativo del Tribunal Superior de Justicia de Castilla-La Mancha en el recurso número 390-2012.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diciembre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18 de julio de 2013, resolución impugnada en el presente recurso de amparo núm. 5401-2014.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18 de julio de 2013 en el recurso de casación núm. 1311-2013, que ha sido impugnado en el presente recurso de amparo núm. 5401-2014.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5401-2014,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