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15 de enero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antes referido se impugna providencia y Auto de la Sala de lo Contencioso-Administrativo del Tribunal Supremo en recurso de casación 4763-2011, contra la Sentencia dictada por la Sección Segunda de la Sala de lo Contencioso-Administrativo del Tribunal Superior de Justicia de Canarias en recurso núm. 251-2009.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13 de enero de 2015, el Magistrado don Ricardo Enríquez Sancho comunicó a los efectos oportunos que se abstenía de intervenir en el antes indicado recurso de amparo, de conformidad con el art. 80 de la Ley Orgánica del Tribunal Constitucional, por haber formado parte de la Sección Primera de la Sala Tercera del Tribunal Supremo, que dictó el Auto de 15 de marzo de 2012, resolución impugnada en el presente recurso de amparo núm. 6996-2012.</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Ricardo Enríquez Sancho, Magistrado de esta Sala Segunda del Tribunal Constitucional, la Sección, en virtud de lo previsto en el art. 219.11 de la Ley Orgánica del Poder Judicial, supletoria de la Ley Orgánica del Tribunal Constitucional (art. 80), estima justificada la causa de abstención formulada, puesto que el mencionado Magistrado formó parte de la Sección Primera de la Sala Tercera del Tribunal Supremo, que dictó el Auto de 15 de marzo de 2012, en el recurso de casación que ha sido impugnado en 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Ricardo Enríquez Sancho en el recurso de amparo número 6996-2012,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enero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