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16 de febrero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doña Adela Asua Batarrita, Presidenta, y don Fernando Valdés Dal-Ré,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2246-2012, promovido por la mercantil Compañía de Distribución Integral Logista S.A., representada por la Procuradora de los Tribunales doña María Teresa Goñi Toledo y asistida por el Abogado don Javier Navarro Martínez, contra el Auto de la Sección Primera de la Sala de lo Contencioso-Administrativo del Tribunal Supremo, de fecha 10 de noviembre de 2011, que resolvió la inadmisión del recurso de casación núm. 3466-2010, interpuesto por la sociedad demandante de amparo, y contra la providencia, de fecha 22 de febrero de 2012, que inadmitió a trámite el incidente de nulidad de actuaciones promovido contra el referido Auto. Ha comparecido el Abogado del Estado, en la representación que ostenta, y ha intervenido el Ministerio Fiscal. Ha sido Ponente el Magistrado don Pedro José González Trevijano-Sánchez,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17 de abril de 2012 tuvo entrada en el Registro General de este Tribunal Constitucional escrito presentado por la Procuradora de los Tribunales doña María Teresa Goñi Toledo, actuando en nombre y representación de la mercantil Compañía de Distribución Integral Logista, S.A., y bajo la dirección letrada del Abogado don Javier Navarro Martínez, mediante el cual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contra la resolución del Tribunal Económico-Administrativo Central, de fecha 13 de mayo de 2008, en virtud de la cual fue desestimado el recurso de alzada interpuesto contra la resolución del Tribunal Económico-Administrativo Regional de Cataluña, de 24 de mayo de 2007, que confirmó el acuerdo dictado por el jefe regional de la dependencia provincial de aduanas e impuestos especiales de Barcelona, en cuya virtud se estableció una deuda de 682.333,31 euros, por los conceptos de arancel, impuesto sobre el valor añadido a la importación e intereses de demora.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377-2008, la Sala de lo Contencioso-Administrativo de la Audiencia Nacional (Sección Séptima) dictó, en fecha 8 de marzo de 2010, Sentencia desestimatoria de las pretensiones de la demandante. La referida Sentencia fue notificada a las partes el día 17 de marzo de 2010, con la indicación de que contra la misma cabía recurso de casación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día 30 de marzo de 2010, la sociedad demandante de amparo interesó que se tuviera por preparado recurso de casación contra la Sentencia antes indicada. En dicho escrito puso de manifiesto la intención de interponer recurso de casación, justificó la legitimación que ostenta y, a su vez, advirtió del cumplimiento del plazo para la presentación del escrito, del carácter recurrible de la resolución impugnada y de la suficiencia de la cuantía del recurso para el acceso a la casación. A ello, añadió la precisión de que el recurso iba a fundarse en los motivos previstos en los arts. 88.1 c) y 88.1 d)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fecha 9 de abril de 2010, notificada a la sociedad demandante el día 19 del citado mes y año, la Sala de lo Contencioso-Administrativo de la Audiencia Nacional tuvo por preparado el recurso de casación. Asimismo, dicho órgano acordó emplazar a la demandante para que compareciera ante la Sala Tercera del Tribunal Supremo. Una vez recibidas las actuaciones por el órgano ad quem, el día 31 de mayo de 2010 la actora interpuso el recurso de casación ante la Sala Tercera del Tribunal Supremo. Por providencia de fecha 28 de septiembre de 2010 la referida Sala tuvo por interpuesto el recurso de casación, el cual fue registrado con el número 3466-2010.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3 de noviembre de 2010 la referida Sala dictó providencia, en cuya virtud dio traslado para alegaciones de las partes, por plazo común de diez días, para que alegasen sobre la posible concurrencia de la causa de inadmisión consistente en “estar exceptuada del recurso de casación la Sentencia impugnada por haber recaído en un asunto cuya cuantía no excede de 150.000 euros, pues aunque en la instancia quedó fijada en la cantidad de 682.333,31 euros, habiéndose producido en vía administrativa una acumulación de pretensiones, únicamente la liquidación en concepto de derechos arancelarios excede de 150.000 euros (arts. 86.2 b y 41.3 de la LRJCA)”. En fecha 15 de noviembre de 2010, la sociedad recurrente cumplimentó el traslado conferido, mediante escrito en el que interesó la admisión íntegra del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17 de mayo de 2011, la sociedad demandante de amparo presentó escrito ante la Sala de lo Contencioso-Administrativo de la Audiencia Nacional, en el que manifestó haber tenido conocimiento del Auto dictado por la Sala de lo Contencioso-Administrativo del Tribunal Supremo (en adelante, ATS) 2927/2010, de 10 de febrero de 2011, en virtud del cual modificaba su doctrina relativa a los requisitos exigibles para la preparación del recurso de casación contra sentencias dictadas por la Audiencia Nacional. Por ello, en orden a adecuar el escrito de preparación del recurso de casación a las exigencias establecidas por el la Sala Tercera del Tribunal Supremo, procedió a indicar las concretas infracciones normativas o jurisprudenciales cometidas por la Sentencia impugnada, a fin de que, para el caso de que el Tribunal Supremo resolviera la aplicación de la nueva doctrina a los recursos preparados con anterioridad a hacerse público el referido Auto del Tribunal Supremo, se considerara adecuado el escrito de preparación a las exigencias actuales, a cuyo efecto solicitó a la referida Sala que tuviera preparado el recurso de casación contra la Sentencia recaída en la instancia y, previos los trámites legales que procedan, remitiese el presente escrito a la Sala Tercera del Tribunal Supremo para su unión al recurso de casación núm. 3466-2010.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7 de junio de 2011, la Sala Tercera (Sección Primera) del Tribunal Supremo tuvo por recibido un oficio de la Audiencia Nacional, en el que se acompañó el escrito de adecuación de la preparación del recurso de casación presentado por la sociedad demandante de amparo, y ordenó unir el escrito a las actuaciones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11 de mayo de 2011, la Sala Tercera del Tribunal Supremo dio de nuevo plazo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89.1 y 93.2 a) LJCA]. Dicha resolución fue notificada a la sociedad demandante el día 17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24 de mayo de 2011 la sociedad demandante evacuó el traslado conferido. En síntesis, la referida entidad solicitó la aplicación al caso de la doctrina mantenida en la STS de 30 de marzo de 2011, dictada por la Sección Segunda de la Sala Tercera del Tribunal Supremo en el recurso de casación 3143-2006, en cuya virtud fue admitido un recurso de casación preparado contra una sentencia dictada por la Audiencia Nacional, sin que en el escrito de preparación se hubieran citado las concretas normas o doctrina jurisprudencial que se reputaban infringidas. Asimismo, puso de relieve que los posibles defectos del escrito de preparación habían sido subsanados a través del escrito de adecuación de fecha 17 de mayo de 2011. Por todo ello, solicitó que se acordara la admisión total del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10 de noviembre de 2011, la Sala Tercera del Tribunal Supremo (Sección Primera) acordó la inadmisión del recurso de casación. La Sala se remitió a la doctrina establecida en el Auto del Tribunal Supremo de 10 de febrero de 2011, del que transcribió varios de sus fundamentos, y concluyó que no habiéndose citado, en el escrito de preparación del recurso formalizado por la sociedad recurrente, las infracciones normativas o jurisprudenciales que iban a desarrollarse en el escrito de interposición, procedía la inadmisión del recurso de casación, lo que hacía innecesario pronunciarse sobre la causa de inadmisión parcial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Sala considera de aplicación lo que la doctrina constitucional ha calificado como “mínimo efecto retroactivo”, de manera que el nuevo criterio jurisprudencial establecido resulta extensible a todo supuesto o situación jurídica que tenga ante sí para resolver, con independencia del momento temporal en que se interpuso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Sala también rechaza la eficacia de la subsanación intentada por la sociedad demandante, a través de un escrito posterior al trámite de preparación, al entender que el incumplimiento de la carga establecida en el art. 89.1 de la Ley jurisdiccional acarrea un vicio de carácter sustancial, y no un simple defecto de forma, amén de que los requisitos que configuran los presupuestos procesales deben ser cumplidos, de manera indeclinable, en tiempo y forma. Por todo ello, entendió que el defecto procesal apreciado es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3 de enero de 2012, la sociedad demandante de amparo promovió incidente de nulidad de actuaciones en el que, con una extensa argumentación, alegó la vulneración del derecho a la igualdad en la aplicación judicial de la Ley (art. 14 CE) y del derecho a la tutela judicial efectiva en su vertiente de acceso a los recursos (art. 24.1 CE), en relación con el principio de seguridad jurídica contenido en el art. 9.1 CE. Denunció, en resumen, que el Tribunal Supremo había introducido una modificación sustancial respecto de los requisitos del escrito de preparación del recurso de casación contra Sentencias dictadas por la Audiencia Nacional que, además de inesperado, resulta sorprendente, arbitrario e infundado. Dicho cambio de criterio impone el cumplimiento de unos requisitos no contemplados en la Ley y, además, se aplica a escritos de preparación presentados con anterioridad a la adopción del nuevo criterio. Asimismo, afirma que la resolución impugnada contraviene la doctrina del Tribunal Constitucional en materia de subsanación de defectos procesales, con la consiguiente indefensión que se provoca a la parte recurrente. Finalmente, destaca la falta de vocación de permanencia de la modificación jurisprudencial, lo que comporta una vulneración del derecho a la igualdad en la aplicación judicial de la Ley, puesto que con posterioridad al Auto del Tribunal Supremo de 10 de febrero de 2011 se han dictado resoluciones en las que se retoma el criterio precedente, en cuya virtud no resulta exigible la indicación expresa, en el escrito de preparación del recurso de casación, de las normas o doctrina jurisprudencial infringida.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providencia de 22 de febrero de 2012 fue inadmitido a trámite el incidente de nulidad de actuaciones promovido contra el Auto de 10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contiene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10 de noviembre de 2011 ha lesionado el derecho a la tutela judicial efectiva (art. 24.1 CE), en su vertiente de acceso a los recursos, porque se funda en el requisito de anticipar en el escrito de preparación del recurso de casación los concretos preceptos o la jurisprudencia que se reputan infringidos, el cual carece de cobertura en la Ley reguladora de la jurisdicción contencioso-administrativa. Esta Ley —subraya— solo lo exige en el supuesto concreto del art. 89.2 LJCA para resoluciones dictadas por los Tribunales Superiores de Justicia. La recurrente no atribuye la infracción al mero cambio de criterio del Tribunal Supremo iniciado a partir del ATS 2927/2010, de 10 de febrero de 2011, sobre el que se articula el Auto del Tribunal Supremo de 10 de noviembre de 2011, que inadmite el recurso de casación interpuesto por la actora, pues también advierte que dicho cambio es arbitrario, en tanto que impone, ex novo y con carácter retroactivo, un requisito no exigido en la Ley reguladora de la jurisdicción contencioso-administrativa ni en la jurisprudencia anterior, que había quedado fijada en los AATS 573/2010, de 14 de octubre, y 3461/2010, de 18 de noviembre, entre otras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del Tribunal Supremo de 10 de noviembre de 2011 ha vulnerado su derecho a la tutela judicial efectiva (art. 24.1 CE), en su vertiente de acceso a los recursos,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A su vez, también advierte que, una vez tuvo conocimiento del cambio de criterio jurisprudencial, presentó un escrito de adecuación conforme a los nuevos requisitos fijados, el cual no fue tenido en cuenta para considerar subsanado el primigenio escrito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también, en relación con esta infracción alegada, la vulneración de los principios de seguridad jurídica (art. 9.3 CE), buena fe y confianza legítima que, a la postre, han producido una efectiva indefensión a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del Tribunal Supremo de 10 de noviembre de 2011 ha conculcado su derecho a la igualdad en la aplicación judicial de la Ley (art. 14 CE), pues, según manifiesta la demandante, el cambio de criterio efectuado por la Sala Tercera del Tribunal Supremo no tiene vocación de permanencia, pues con posterioridad al Auto del Tribunal Supremo de 10 de febrero de 2011 se han dictado Sentencias y Autos contrarios a la jurisprudencia contenida en dicha resolución; entre otros, los AATS, de 17 de febrero de 2011 (recurso número 4600-2010), de 24 de febrero de 2011 (recurso número 3793-2010), de 17 de marzo de 2011 (recurso número 6250-2010), y 8516/2011, de 16 de junio (recurso número 5151-2010).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por último que, atendidas las circunstancias concurrentes, debió tomarse en consideración el escrito de adecuación a la nueva exigencia presentado por la parte al objeto de evitar una situación de indefensión que, en el curso de la tramitación de su recurso, ha cumplido escrupulosamente las normas y la jurisprudencia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10 de noviembre de 2011,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número 3466-2010 y al recurso número 377-2008,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24 de octubre de 2013, el Abogado del Estado, en la representación que le es propia,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7 de enero de 2014, se tuvo por personado y parte al Abogado del Estado, en representación de la Administración del Estado. Y, a tenor de lo dispuesto en el art. 52.1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31 de enero de 2014, la sociedad demandante formuló sus alegaciones. En esencia, dicha entidad se remite a lo ya manifestado en el escrito de demanda, reiterando las pretensiones ya interesadas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mediante escrito registrado el 6 de febrero de 2014. En síntesis, considera que, a la luz de la doctrina constitucional, el Auto de inadmisón combatido en amparo vulnera el derecho al acceso a los recursos que garantiza el art. 24.1 CE. Para el Abogado del Estado el auténtico problema constitucional que la demanda suscita radica en la aplicación retrospectiva o retroactiva de las nuevas máximas jurisprudenciales plasmadas en el Auto del Tribunal Supremo de 10 de febrero de 2011, que no existían cuando se presentó el escrito de preparación del recurso de casación. En el presente caso, la inadmisión del recurso de casación se sustenta, precisamente, en que no se preparó conforme a las referidas máximas; ello supone imponer retroactivamente un novedoso régimen procesal desfavorable a la realización de un acto procesal totalmente concluido, lo cual vulnera lo dispuesto en el art.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 fundadas en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27 de febrero de 2014. En primer lugar, compendia los hechos más relevantes que atañen al presente recurso. En segundo término, sintetiza la doctrina del Tribunal Constitucional sobre el acceso a los recursos y la evolución de la jurisprudencia del Tribunal Supremo sobre los requisitos que debe reunir el escrito de preparación del recurso de casación contencioso-administrativo. Finalmente, a la vista de las alegaciones formuladas en la demanda de amparo concluye que se ha vulnerado el derecho a la igualdad en la aplicación judicial de la Ley (art. 14 CE). Por el contrario, considera que las resoluciones combatidas en amparo no lesionan el derecho a la tutela judicial efectiva sin indefensión (art. 24.1 CE), dado que la exigencia de indicar, en el escrito de preparación del recurso de casación, las concretas infracciones legales o de la doctrina jurisprudencial deriva del propio tenor de los apartados c) y d) del art. 88.1 LJCA, de manera que cabría afirmar que no es la jurisprudencia la que impone tal requisito, sino la propia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del Ministerio Fiscal en torno a la lesión del art. 14 CE se desarrolla, en síntesis,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preparó el recurso de casación conforme a las pautas fijadas en el ATS 15895/2010, de 18 de noviembre, recaído en el recurso de casación número 3461-2010, que pretendió aclarar la jurisprudencia relativa a los requisitos exigibles al escrito de preparación del recurso de casación, concretamente en su fundamento jurídico 6. Ahora bien, la doctrina establecida por el Auto anteriormente citado fue de nuevo matizada por la Sección Primera de la Sala de lo Contencioso-Administrativo del Tribunal Supremo mediante el ATS 2371/2011, de 10 de febrero, recaído en el recurso de casación número 2927-2010, el cual, en su fundamento jurídico 4, estatuyó la necesidad de la indicación de los concretos preceptos o jurisprudencia que se reputan infringidos o del contenido de las infracciones normativas o jurisprudenciales que se pretendan denunciar y desarrollar en el escrito de interposición del recurso de casación, aunque fuere de forma sucinta, añadiendo que esta exigencia de expresión de las concretas infracciones normativas o jurisprudenciales en el escrito de preparación existe tanto cuando la resolución impugnada procede de los Tribunales Superiores de Justicia como de la Audiencia Nacional y cualquiera que sea el motivo del art. 88.1 LJCA que se utilice.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mientras el ATS 15895/2010, de 18 de noviembre, dijo que era “carga del recurrente en casación indicar ya en la fase de preparación el concreto o concretos motivos en que se fundará el recurso y no en cualesquiera otras razones no contempladas en la Ley Jurisdiccional”, el ATS 2371/2011, de 10 de febrero, dejó sentado que era “carga del recurrente en casación indicar ya en la fase de preparación el concreto o concretos motivos en que se fundará el recurso y no en cualesquiera otras razones no contempladas en la Ley Jurisdiccional, con indicación de los concretos preceptos o jurisprudencia que se reputan infringidos o del contenido de las infracciones normativas o jurisprudenciales que se pretendan denunciar y desarrollar en el escrito de interposición del recurso de casación, aunque fuere de forma sucinta”.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exigencia del ATS 2371/2011, de 10 de febrero, relativa a la obligatoriedad de indicar ya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no ha sido seguido de modo unánime por la Sección Primera de la Sala Tercera del Tribunal Supremo. A tales fines, la parte recurrente ha mencionado Autos y Sentencias que con posterioridad a ese Auto de 10 de febrero de 2011 han mantenido la posición “histórica” de la Sala Tercera del Tribunal Supremo en relación con los requisitos predicables para la válida formulación del escrito de preparación del recurso de casación, como son los AATS 1932/2011, de 17 de febrero  (recurso número 4600-2010), 4046/2011, de 24 de marzo (recurso número 3896-2010), 3673/2011, de 17 de marzo (recurso número 1585-2010), 3667/2011, de 17 de marzo (recurso número 6250-2010), y 8516/2011, de 16 de junio (recurso número 5151-2010) y las SSTS de 30 de marzo de 2011 (recurso número 3143-2006) y 5 de abril de 2011 (recurso número 2520-2009).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 sociedad demandante de amparo ha aportado un válido término de comparación, pues oportunamente cita los AATS 1932/2011, de 17 de febrero (recurso número 4600-2010), 3667/2011, de 17 de marzo (recurso número 6250-2010), y 8516/2011, de 16 de junio (recurso número 5151-2010), todos ellos dictados por la Sección Primera, en relación con recursos de casación entablados contra Sentencias dictadas por la Sala de lo Contencioso-Administrativo de la Audiencia Nacional, en ninguno de los cuales se exige la indicación, en el escrito de preparación del recurso de casación, de los concretos preceptos o jurisprudencia que se reputan infringidos o el contenido de las infracciones normativas o jurisprudenciales que se pretendan denunciar y desarrollar en el escrito de interposición del recurso de casación. Este dato permite constatar la efectiva y necesaria identidad entre los supuestos de hecho que constituyen la base de cada una de esas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suma, que en la presente hipótesis el Auto ahora impugnado —el Auto dictado por la Sección Primera de la Sala de lo Contencioso-Administrativo del Tribunal Supremo en el recurso de casación número 3466-2010 con fecha 10 de noviembre de 2011— no contiene referencia suficiente a la circunstancia de que esa misma Sección hubiera dictado previamente —vigente ya la doctrina fijada por el ATC 2371-2011, de 10 de febrero— al menos otros cuatro Autos en sentido diferente al de aquél, como tampoco contiene el Auto aquí impugnado una justificación explícita del cambio de criterio producido entre los casos que ahora trae a colación la parte recurrente en amparo y el Auto del que ahora se trata, lo cual parece en todo caso inexcusable.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Fiscal que, sentado lo anterior, carece de dificultad apreciar en el presente caso la existencia de todos y cada uno de los requisitos establecidos por la antes mencionada doctrina de ese Tribunal Constitucional para que pueda entenderse vulnerado el derecho a la igualdad en la aplicación judicial de la Ley (art. 14 CE), pues (i) la parte demandante de amparo ha acreditado el tertium comparationis exigido al haber señalado en su demanda hasta cuatro Autos de la Sección Primera de la Sala de lo Contencioso-Administrativo del Tribunal Supremo recaídos en casos análogos al que es objeto del presente recurso de amparo, pero con resolución diferente de la recaída en su caso concreto; (ii) existe la identidad de órgano judicial, habida cuenta de que tanto el Auto impugnado como los Autos de contraste han sido dictados por la Sección Primera de la Sala de lo Contencioso-Administrativo del Tribunal Supremo; (iii) existe alteridad en los supuestos contrastados, pues ninguno de los casos de contraste aportados se refieren a la demandante; y (iv) es de apreciar la ausencia de toda motivación que justifique en términos generalizables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termina solicitando que se dicte Sentencia por la que se declare que el Auto dictado por la Sección Primera de la Sala de lo Contencioso-Administrativo del Tribunal Supremo en el recurso de casación número 3466-2010 con fecha 10 de noviembre de 2011 vulneró el derecho de la sociedad Compañía de Distribución Integral Logista, S.A., a la igualdad en la aplicación de la ley (art. 14 CE), con la consecuencia necesaria de la anulación de dicha resolución, así como de la providencia dictada por la Sección Primera de la Sala de lo Contencioso-Administrativo del Tribunal Supremo en el recurso de casación número 3466-2010, de fecha 22 de febrero de 2012, por la que se inadmitió el incidente de nulidad de actuaciones entablado contra aquel Auto, para que sea dictada, en su lugar, otra resolución que se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10 de noviembre de 2011,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fecha 6 de noviembre de 2014, la Sala Segunda de este Tribunal resolvió estimar justificada la causa de abstención invocada, apartando definitivamente del conocimiento del presente recurso y de todas sus incidencias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12 de febrero de 2015 se señaló para deliberación y fallo de la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invocaciones constitucionales en que se fundamenta este recurso ya han sido objeto de análisis por el Pleno de este Tribunal en la STC 7/2015, de 22 de enero. Por tanto, 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descartarse la lesión aducida del derecho a la igualdad en la aplicación de la ley. En el fundamento jurídico 4 de la Sentencia citada,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y razona explícitamente la alteración doctrinal, que se justifica a partir de la finalidad que debe cumplir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estimarse la vulneración del derecho a la tutela judicial efectiva (art. 24.1 CE) fundamentada en que, contrariamente al parámetro de racionalidad, la decisión de inadmisión impugnada no tomó en consideración que la falta de cumplimiento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Compañía de Distribución Integral Logista,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10 de noviembre de 2011 y de la providencia de 22 de febrero de 2012, dictados en el recurso de casación núm. 3466-2010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febrero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formulan la Magistrada doña Adela Asua Batarrita y el Magistrado don Fernando Valdés Dal-Ré a la Sentencia dictada en el recurso de amparo núm. 2246-2012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pleno respeto a la opinión de la mayoría de la Sala, manifestamos nuestra discrepancia con la desestimación de la vulneración del art. 24.1 CE relativa a la falta de cobertura legal de la causa de inadmisión impugnada, y con la desestimación de la lesión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que nos conducen a tal conclusión fueron expuestos con detalle en el Voto particular formulado por el Magistrado don Juan Antonio Xiol Ríos a la STC 7/2015, de 22 de enero, dictada en el recurso de amparo avocado al Pleno núm. 2399-2012, al que entonces nos adherimos, y al que ahora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febrero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