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 de marzo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1716-2012, promovido por “Casas Canarias de Campo S.L.” representada por la Procuradora de los Tribunales doña María Rosalva Yanes Pérez y asistida por el Letrado don Javier Ortega Trujillo, contra el Auto de 14 de julio de 2011, de la Sección Primera de la Sala de lo Contencioso-Administrativo del Tribunal Supremo, que inadmite el recurso de casación intentado frente a Sentencia de 25 de octubre de 2010 de la Audiencia Nacional; asimismo se impugna el Auto de 19 de enero de 2012, por la que se inadmite el incidente de nulidad planteado frente al Auto antes citado. Ha intervenido el Ministerio Fiscal; ha comparecido el Abogado del Estado.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marzo de 2012, la demandante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empresa recurrente, tras obtener la Sentencia desestimatoria de la Audiencia Nacional, de 25 de octubre de 2010, preparó recurso de casación frente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de 12 de noviembre de 2010, se preparó el recurso de casación ante la Sala de lo Contencioso-Administrativo de la Audiencia Nacional contra la citada Sentencia. El Tribunal Supremo, mediante Auto de 14 de julio de 2011, inadmitió el recurso de casación. Interpuesto incidente de nulidad frente al citado Auto, fue inadmitido por Auto de 19 de enero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alega que se ha vulnerado el derecho fundamental a la tutela judicial efectiva del art. 24.1 CE, en su vertiente de derecho de acceso a la justicia, causante de indefensión, al vulnerar lo dispuesto en el art. 94.1 de la Ley reguladora de la jurisdicción contencioso-administrativa, toda vez que se funda la inadmisión del recurso de casación en que el escrito de preparación del recurso no se hace expresión de las concretas infracciones normativas o jurisprudenciales aplicables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parte recurrente que en el presente caso concurren los criterios que la jurisprudencia del Tribunal Constitucional y del Tribunal Europeo de Derechos Humanos  requieren para admitir, en recurso de amparo, un control de constitucionalidad de una resolución judicial inadmisoria de la casación en atención a una eventual vulneración del derecho fundamental a la tutela judicial efectiva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que el alcance y/o el rigor exigido en los requisitos formales, como requisito procesal necesario para que el Tribunal Supremo proceda a la admisión del recurso de casación, en el presente caso concreto, resulta desproporcionado. Pone de manifiesto la parte recurrente la reiterada jurisprudencia del Tribunal Supremo en relación con los requisitos del escrito de preparación del recurso de casación y la sorpresiva modificación de tal línea jurisprudencia y su aplicación de manera retroactiva y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obligación de citar en el escrito de preparación del recurso de casación las concretas infracciones normativas o jurisprudenciales que se reputan infringidas se configura como un nuevo criterio que carece, a su juicio, de un claro sustento normativo. Adicionalmente, la nueva doctrina se aplica con carácter retroactivo y sin posibilidad de que el nuevo criterio se haya dado a conocer suficientemente, puesto que se ha ido perfilando mediante autos y no sentencias. Además, considera que ha de tenerse en cuenta que el cambio de criterio no ha existido uniformidad entre las distintas secciones a la hora de exigir el referido nuevo requisito formal, puesto que existen Secciones de la Sala Tercera del Tribunal Supremo que no han opuesto objeción a aquellos escritos de preparación que se formularon con los requisitos tradicionalmente aceptados.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Auto de inadmisión del incidente de nulidad de actuaciones manifiesta que “en consecuencia, esta Sala habrá de aplicar el nuevo criterio jurisprudencia a todo supuesto o situación jurídica que tenga ante sí para resolver, con independencia del momento temporal en que se interpuso el recurso. Es lo que el Tribunal Constitucional ha entendido como el mínimo efecto retroactivo. En caso contrario, quedaría petrificada la nueva interpretación jurisprudencia a aquellos escritos de interposición de recursos que fueran presentados debidamente ante los Tribunales de Justicia a partir del momento del anuncio de cambio de criterio, anuncio al que no están obligados los órganos jurisdiccionales, tal y como tiene asentada la doctrina constitucional referida”. Resalta que, al haberse producido el cambio de criterio a través de autos —que carecen de la publicidad de la que gozan las sentencias— se impide a los interesados el tener conocimiento del nuevo criterio con la antelación necesaria para impugnar las sentencias sin incurrir en error procedimental alguno. A este respecto, destaca que a la fecha en que es emitida la sentencia de la Audiencia Nacional contra la que se preparó el recurso de casación (25 de octubre de 2010), ni siquiera se puede decir que existiera un nuevo criterio jurisprudencial porque a esa fecha existía un único Auto, el de 14 de octubre de 2010, de imposible conocimiento por la proximidad de las fechas, donde ya se dejaba entrever el nuevo criterio desarrollado en otros autos posteriores. Y además, defiende que hubiera sido necesario que existieran un mínimo de dos autos en el mismo sentido para que se pueda hablar de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considera que la resolución impugnada en amparo vulnera su tutela judicial efectiva, en la vertiente del derecho de acceso a los recursos legalmente previstos,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Auto de 8 de mayo de 2013 se tuvo por abstenido al Magistrado don Juan José Gonzáles Rivas. La Sala Primera del Tribunal Constitucional acordó por providencia de 3 de junio de 2013, la admisión a trámite del recurso de amparo y, de conformidad con el art. 51 de la Ley Orgánica del Tribunal Constitucional (LOTC), requerir atentamente a la Sala de lo Contencioso-Administrativo del Tribunal Supremo para que remitiera testimonio del recurso de casación núm. 6862-2010; asimismo, se acordó requerir a la Sección Séptima de la Sala de lo Contencioso-Administrativo de la Audiencia Nacional para que remitiera testimonio del procedimiento núm. 270-2009 y para que emplazara a quienes fueron parte en dicho procedimiento, con excepción de la parte recurrente en amparo, ya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diligencia de ordenación de 9 de septiembre de 2013, se tuvieron por recibidas las actuaciones judiciales requeridas y se acordó un plazo común de veinte días para que las partes pudieran alegar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presentó alegaciones el 10 de octubre de 2013, remitiéndose a los argumentos esgrimidos en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sus alegaciones el 19 de septiembre de 2013, solicitando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a la luz de la doctrina constitucional, el Auto impugnado viola el derecho de acceso a los recursos garantizado por el art. 24.1 CE. Recuerda que la STC 230/2001, señaló que el carácter extraordinario de la casación, de manera que la “subsanabilidad queda sometida, no sólo a los requisitos meramente extrínsecos -tiempo y forma- y a los presupuestos comunes exigibles para el ordinario de apelación, sino a otros intrínsecos, sustantivos, relacionados con el contenido y viabilidad de la pretensión, cuyo régimen es más severo por su propia naturaleza” y exige por ello “una especial diligencia y pericia técnica por parte de la asistencia letrada de los recurrentes que decida utilizar esta vía, que debe conocer necesariamente las exigencias procesales establecidas en las leyes para este tipo de recurso, así como la interpretación que de ella (en tanto que legalidad ordinaria) hace el Tribunal Supremo”. En lo que hace al derecho al recurso legal, por lo tanto, “la libertad judicial de interpretación de la legalidad ordinaria no tiene más limitaciones, a la luz del art. 24.1 CE, en su dimensión del derecho de acceso a los recursos, que las derivadas del canon del error patente, la arbitrariedad o la irrazonabilidad lógica”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analizar los preceptos de la Ley de la jurisdicción contencioso-administrativa relativos a los requisitos del escrito de preparación del recurso de casación, considera que la exigencia jurisprudencial contenida en el Auto del Tribunal Supremo de 10 de febrero de 2011, de anticipar resumidamente los motivos casacionales que se desarrollarán en el escrito de interposición, indicando ya en la preparación las normas y/o jurisprudencia infringidas también cuando se recurren Sentencias de la Audiencia Nacional, no puede calificarse ni de arbitraria ni de irrazonable. Pero destaca que el auténtico problema constitucional que la demanda suscita, y en el que la parte actora lleva la razón, radica en la aplicación retrospectiva de las nuevas máximas jurisprudenciales plasmadas en el citado Auto. La razonable expectativa o confianza legítima sobre la admisión de un recurso de casación preparado de acuerdo con los requisitos de forma exigidos por la jurisprudencia en el momento de presentar el escrito de preparación, se ve sorpresivamente frustrada por la aplicación retrospectiva de las nuevas máximas jurisprudenciales sin dar oportunidad procesal ninguna de ajustar el escrito ya presentado a las nuevas exigencias. No se trata de la violación del principio de seguridad jurídica (art. 9.3 CE), que no resulta protegido por el recurso de amparo, sino de una aplicación irrazonable, por contraria a la confianza legítima, de las nuevas máximas jurisprudenciales determinantes de la admisión o inadmisión del recurso de casación, que por ello se traducen en una violación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por tanto, la cuestión radica en la irrazonabilidad de exigir, para la realización de un acto procesal agotado, el cumplimiento de unos requisitos de forma que razonablemente no se conocían en el momento en que se efectuó dicho acto procesal; requisitos que, por ello, la parte no tenía ninguna posibilidad de conocer ni de cumplir. La razonabilidad se extiende no sólo a la interpretación que se hace de la norma, sino a la forma en que esa interpretación se aplica a los supuestos de hecho sujetos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afirma que “la doctrina constitucional que la Abogacía del Estado aspira a ver plasmada en la sentencia que se dicte en el presente recurso de amparo se sintetiza en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irrazonablemente contrariando las exigencias mínimas de la confianza legítima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formuló sus alegaciones el 17 de octubre de 2013, solicitando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Ministerio Fiscal analizando la doctrina del Tribunal Supremo sobre los requisitos que debe cumplir el escrito de preparación del recurso de casación. Dadas las fechas del Auto impugnado y el Auto de 10 de febrero de 2011 a través del cual el Tribunal Supremo matizó su doctrina sobre la preparación del recurso de casación, señala que el problema no consiste en determinar si el cambio de criterio jurisprudencia operado por el Auto de 10 de febrero de 2011, ha resultado vulnerador del derecho a la tutela judicial efectiva (art. 24.1 CE) de la parte demandante de amparo, sino si el concreto Auto de inadmisión aquí impugnado o, más específicamente, su concreta motivación, ha producido a dicha parte esa lesión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sobre el derecho de acceso a los recursos, en cuanto manifestación del derecho a la tutela judicial efectiva, art. 24.1 CE, considera que tal derecho no ha sido vulnerado en el caso de la demandante de amparo. En efecto: i) el canon del error patente ha de quedar descartado de antemano, pues no se está discutiendo sobre una cuestión fáctica; y ii) del mismo modo ha de descartarse que la resolución judicial principalmente impugnada —el Auto de inadmisión del recurso de casación— incurra en arbitrariedad ni que sea irrazonable, pues es evidente que la decisión de la Sección Primera de la Sala de lo Contencioso-Administrativo del Tribunal Supremo no es “una simple expresión de la voluntad”, sin motivación o fundamento alguno (STC 164/2002, de 17 de septiembre, FJ 4), ni presenta “quiebras lógicas de tal magnitud que las conclusiones alcanzadas no puedan considerarse basadas en ninguna de las razones aducidas" (SSTC 15112001, de 2 de julio, FJ 5; 164/2002, de 17 de septiembre, FJ 4), ni expresa un razonamiento jurídico que objetivamente no pueda resultar comprensible a "cualquier observador” (STC 222/2003, de 15 de diciembre, FJ 5). Y es que, afirma el Ministerio Fiscal, por discutible que pueda parecer la argumentación que ha conducido a la inadmisión del recurso de casación entablado por la recurrente, el hecho cierto es que el Auto dictado por la Sección Primera de la Sala de lo Contencioso-Administrativo del Tribunal Supremo por el que se inadmitió el recurso de casación entablado contra la Sentencia dictada por la Audiencia Nacional, constituye una resolución debidamente motivada y que esa motivación no está incursa ni en error patente, ni en irrazonabilidad, ni en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febrero de 2015 se señaló para la deliberación y votación de la presente Sentencia el 2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parte demandante de amparo impugna el Auto de la Sección Primera de la Sala de lo Contencioso-Administrativo del Tribunal Supremo de 14 de julio de 2011, que acordó no admitir a trámite el recurso de casación interpuesto contra la Sentencia de la Sala de lo Contencioso-Administrativo de la Audiencia Nacional de 25 de octubre de 2010, recaída en el procedimiento ordinario núm. 270-2009. También impugna la resolución mediante la que se inadmitió a trámite el incidente de nulidad de actuaciones promovido contra el Auto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según se expresa con más detalle en los antecedentes de hecho de esta resolución, imputa a las resoluciones recurridas: (i) la vulneración de su derecho a la tutela judicial efectiva (art. 24.1 CE), en su vertiente de acceso a los recursos, porque el Auto impugnado se funda en un requisito de admisibilidad no exigido por la ley; (ii) la vulneración de su derecho a la tutela judicial efectiva (art. 24.1 CE), en su vertiente de acceso a los recursos, en relación con el principio de seguridad jurídica (art. 9.3 CE), porque la exigencia de anticipar en el escrito de preparación del recurso de casación los concretos preceptos o la jurisprudencia que se reputan infringidos se ha aplicado con carácter retroactivo, en un momento en que aquella exigencia no era conocida ni predecible a tenor de la jurisprudencia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en la referida Sentencia, debe descartarse, en primer lugar, que se haya vulnerado el derecho a la tutela judicial efectiva (art. 24.1 CE) por carecer la decisión judicial de la necesaria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7 de febrero,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 recordar que el Tribunal Europeo de Derecho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[Sentencias del Tribunal Europeo de Derechos Humanos (SSTEDH) de 19 diciembre 1997, caso Brualla Gómez de la Torre c. España; y de 25 enero 2005, caso Puchol Oliver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relevantes son las Sentencias del Tribunal de Estrasburgo recaídas en los casos Sociedad General de Aguas de Barcelona c. España, de 25 mayo 2000; Llopis Ruiz c. España, de 7 noviembre 2003; e Ipamark c. España, de 17 febrero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rechazarse, asimismo, que la exigencia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Unédic contra Francia, § 74), pues la evolución de la jurisprudencia no es en sí contraria a la correcta administración de justicia, ya que lo contrario impediría cualquier cambio o mejora en la interpretación de las leyes (STEDH de 14 de enero de 2010, caso Atanasovski contra la ex República Yugoslava de Macedonia,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debemos añadir que en el sistema de civil law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common law, en el que el precedente actúa como una norma y el overruling, o cambio de precedente, innova el ordenamiento jurídico, con lo que es posible limitar la retroactividad de la decisión judicial, en el Derecho continental los tribunales no están vinculados por la regla del prospective overruling, rigiendo, por el contrario, el retrospective overruling (sin perjuicio de su excepcionamiento por disposición legal que establezca el efecto exclusivamente prospectivo de la Sentencia, como el art. 100.7 LJCA en el recurso de casación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tuvimos ocasión de señalarlo ya en nuestra STC 95/1993, de 22 de marzo, en la que subrayamos que la Sentencia que introduce un cambio jurisprudencia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consideración a lo argumentado en los anteriores fundamentos jurídicos, procede la desestimación del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Casas Canarias de Campo,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marzo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Luis Ignacio Ortega Álvarez y don Juan Antonio Xiol Ríos a la Sentencia dictada en el recurso de amparo núm. 1716-2012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nuestros compañeros de Sala en la que se sustenta la Sentencia, manifestamos nuestra discrepancia con la fundamentación jurídica y el fallo de esta. Consideramos que hubiera debido ser estimatoria por vulneración del derecho a la tutela judicial efectiva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coincidentes con las que ya fueron expuestas en los Votos particulares formulados a la SSTC 7/2015, de 22 de enero; y 16/2015, de 16 de febrero, a los que para evitar reiteraciones innecesarias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dos de marzo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