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2860-2012, promovido por la mercantil JOSEL, S.L., representada por el Procurador de los Tribunales don Antonio Sorribes Calles y asistida por el Abogado don Miguel Andrés Riera, contra el Auto de la Sección Primera de la Sala de lo Contencioso-Administrativo del Tribunal Supremo de 17 de noviembre de 2011, que declaró la inadmisión del recurso de casación núm. 1501-2011, y contra el Auto de 22 de marzo de 2012 de la misma Sala que desestimó el incidente de nulidad de actuaciones promovido contra el anterior. Ha comparecido y formulado alegaciones el Abogado del Estado.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Constitucional el 14 de mayo de 2012, el Procurador de los Tribunales don Antonio Sorribes Calles, en nombre y representación de la mercantil Josel, S.L. (sucesora por absorción de la mercantil Núñez y Navarro Conde de Urgell, S.A.),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sociedad demandante de amparo interpuso recurso contencioso-administrativo contra la resolución del Tribunal Económico-Administrativo Central (Sala Primera, Vocalía Segunda) de 8 de noviembre de 2007, que desestimó los dos recursos de alzada acumulados interpuestos contra resoluciones del Tribunal Económico-Administrativo Regional de Cataluña desestimatorias de sendas reclamaciones económico-administrativas (núms. 08/15530/03 y 08/11449/03) en materia del impuesto de sociedades, ejercicio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procedimiento por sus trámites con el núm. 24-2008, la Sala de lo Contencioso-Administrativo de la Audiencia Nacional (Sección Segunda) dictó el 26 de enero de 2011 Sentencia desestimatoria, que fue notificada a las partes con la indicación de que contra la misma cabía recurso de casación ante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preparó recurso de casación la sociedad demandante de amparo, mediante escrito registrado en la Audiencia Nacional el 25 de febrero de 2011: en él puso de manifiesto la intención de interponerlo, la legitimación de la recurrente, el cumplimiento del plazo para la presentación del escrito, el carácter recurrible de la Sentencia impugnada y la suficiencia de la cuantía (por indeterminada) para el acceso a la casación. A ello añadió la precisión de que el recurso iba a fundarse en los motivos previstos en los arts. 88.1 c) y 88.1 d) de la Ley reguladora de la jurisdicción contencioso-administrativa (LJCA), y que las normas relevantes y determinantes del fallo de la Sentencia son estatales. El recurso se tuvo por preparado por diligencia de ordenación de la Sala de lo Contencioso-Administrativo de la Audiencia Nacional de 1 de marzo de 2011, con emplazamiento de las partes ante la Sala Tercera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13 de abril de 2011 la sociedad demandante interpuso el recurso de casación ante la Sala Tercera del Tribunal Supremo, recurso que fue registrado con el núm. 1501-2011.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30 de mayo de 2011 se dictó providencia por la que la Sala Tercera del Tribunal Supremo puso de manifiesto para alegaciones, conforme a lo previsto en el art. 93.3 LJCA, la posible concurrencia de la causa de inadmisión consistente en no haberse indicado en el escrito de preparación del recurso las concretas infracciones normativas o jurisprudenciales que iban a desarrollarse en el escrito de interposición [arts. 88.1, 89.1 y 93.2 a) LJCA y Auto de dicha Sala de 10 de febrero de 2011, dictado en el recurso de casación núm.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trámite fue cumplido por el Abogado del Estado, que manifestó no tener nada que objetar a la inadmisión del recurso, y por la demandante de amparo, que interesó la admisión del recurso, haciendo expresa invocación del art. 24.1 CE, a los efectos del art. 44.1 c)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17 de noviembre de 2011 la Sala Tercera del Tribunal Supremo (Sección Primera) declaró la inadmisión del recurso de casación. La Sala se remitió al Auto de 10 de febrero de 2011, del que transcribió varios fundamentos; a la vista de ellos concluyó que, no habiéndose citado en el escrito de preparación del recurso formalizado por la sociedad recurrente las infracciones normativas o jurisprudenciales que iban a desarrollarse en el escrito de interposición, procedía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22 de diciembre de 2011 la sociedad demandante de amparo promovió contra el Auto de inadmisión incidente de nulidad de actuaciones en el que, con una extensa argumentación (que desarrolla la expuesta en el trámite de alegaciones sobre la admisibilidad del recurso de casación), alegó la vulneración del derecho a la igualdad en la aplicación de la ley (art. 14 CE) y del derecho a la tutela judicial efectiva en su vertiente de acceso a los recursos (art. 24.1 CE), en relación con el principio de seguridad jurídica contenido en el art. 9.3 CE. Sostuvo, en resumen, que el Tribunal Supremo había modificado de manera arbitraria, sin motivación y sin vocación de permanencia, su jurisprudencia sobre los requisitos del escrito de preparación del recurso de casación contra Sentencias dictadas por la Audiencia Nacional. Ha exigido un requisito de marcado carácter formalista no contemplado en la ley y lo ha aplicado a escritos de preparación del recurso de casación presentados con anterioridad a la adopción del nuevo criterio en el Auto de 10 de febrero de 2011 o en fechas posteriores muy cercanas a dicha resolución. Al no ser tal criterio novedoso conocido en la fecha en que se preparó el recurso de casación, ha causado con ello indefensión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22 de marzo de 2012 fue desestimado el incidente de nulidad de actuaciones promovido contra el Auto de 17 de noviembre de 2011. La Sala Tercera del Tribunal Supremo considera que la recurrente se limita a reiterar los argumentos aducidos en el trámite de alegaciones, conferido en virtud de lo dispuesto en el art. 93.3 LJCA; que han recibido respuesta motivada en el Auto de 17 de noviembre de 2011, por el que se declara la inadmisión del recurso de casación interpuesto contra la Sentencia de la Sección Segunda de la Sala de lo Contencioso-Administrativo de la Audiencia Nacional de 26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mercantil recurrente fundamenta su demanda de amparo en las quejas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de 17 de noviembre de 2011 ha vulnerado su derecho a la tutela judicial efectiva (art. 24.1 CE), en la vertiente de acceso a los recursos, porque se incluye el requisito de anticipar en el escrito de preparación del recurso de casación los concretos preceptos o la jurisprudencia que se reputan infringidos; exigencia que carece de cobertura en la Ley jurisdiccional. Esta Ley —subraya— solo prevé dicho requisito en el supuesto concreto del art. 89.2 LJCA para resoluciones dictadas por los Tribunales Superiores de Justicia. La recurrente no atribuye la infracción al mero cambio de criterio del Tribunal Supremo iniciado a partir del Auto de 10 de febrero de 2011, sobre el que se articula el Auto de 17 de noviembre de 2011, que inadmite su recurso de casación. La imputa a que el mismo carece de motivación jurídica y es arbitrario en cuanto demanda —ex novo y con carácter retroactivo— un requisito no exigido en la Ley jurisdiccional ni en la jurisprudencia anterior, que había quedado fijada en los Autos del Tribunal Supremo de 14 de octubre y de 18 de noviembre de 2010, entre otros. Además, esta nueva interpretación jurisprudencial violenta el tenor de la norma legal y genera indefensión; supone convertir el escrito de preparación en escrito de interposición, con la consecuencia de que el plazo de 30 días previsto para este en la Ley, queda en la práctica reducido a un plazo de 10 días (previsto legalmente para presentar el escrito de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17 de noviembre de 2011 ha vulnerado su derecho a la tutela judicial efectiva (art. 24.1 CE), en la vertiente de acceso a los recursos. La exigencia de anticipar en el escrito de preparación del recurso de casación los concretos preceptos o la jurisprudencia que se reputan infringidos, además de su carácter marcadamente formalista, se ha aplicado con carácter retroactivo, en un momento en que tal exigencia no era conocida ni predecible a tenor de la jurisprudencia precedente. La recurrente afirma que preparó e interpuso su recurso de casación con anterioridad al conocimiento general del sorpresivo cambio de criterio del Tribunal Supremo en su Auto de 10 de febrero de 2011. Denuncia también, en relación con esta infracción, la vulneración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 17 de noviembre de 2011 ha vulnerado su derecho a la igualdad en la aplicación de la Ley (art. 14 CE). Entiende la recurrente que el Auto impugnado se aparta de una línea doctrinal previa y reiterada sin una motivación razonable; se trata de un cambio de criterio arbitrario, en cuanto viene a exigir un requisito no requerido en la Ley ni en la consolidada doctrina de la propia Sala Tercera del Tribunal Supremo, con el único designio de descongestionar el trabajo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2013, la Sala Primera de este Tribunal acordó la admisión a trámite de la demanda de amparo. Asimismo, en aplicación de lo dispuesto en el art. 51 LOTC, acordó dirigir atenta comunicación a la Sección Primera de la Sala de lo Contencioso-Administrativo del Tribunal Supremo y a la Sección Segunda de la Sala de lo Contencioso-Administrativo de la Audiencia Nacional a fin de que, en el plazo de diez días, remitieran certificación o fotocopia adverada de las actuaciones correspondientes al recurso de casación núm. 1501-2011 y al procedimiento ordinario núm. 24-2008, respectivamente. Interesó al tiempo el emplazamiento de quienes hubieran sido parte en el procedimiento, excepto a la recurrente en amparo, para que en el plazo de diez días pudieran comparecer en el presente proceso constitucional. Se acordó también notificar la providencia, con efectos de emplazamiento, al Abogado del Estado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fecha 2 de septiembre de 2013 se tuvieron por recibidos los testimonios de las actuaciones remitidos por el Tribunal Supremo y por la Audiencia Nacional, así como el escrito del Abogado del Estado, a quien se tuvo por personado y parte en representación de la Administración del Estado. A tenor de lo dispuesto en el art. 52 LOTC, se dio vista de las actuaciones, por un plazo común de veinte días, al Ministerio Fiscal, al Abogado del Estado y al Procurador de la sociedad recurrente en amparo,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mediante escrito registrado en este Tribunal el 19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la exigencia introducida por el Tribunal Supremo en su Auto de 10 de febrero de 2011, para los supuestos de recurso de casación contra Sentencias de la Audiencia Nacional, de anticipar resumidamente en el escrito de preparación del recurso las infracciones normativas o jurisprudenciales que luego se van a desarrollar en el escrito de interposición, no puede calificarse de arbitraria ni irrazonable; desde esta perspectiva quedaría pues excluida la vulneración del derecho a la tutela judicial efectiva (art. 24.1 CE). Tras recordar la doctrina constitucional sobre la inadmisión del recurso de casación contencioso-administrativo por defectos insubsanables del escrito de preparación, analiza el art. 89.1 LJCA y estudia la aplicación del nuevo criterio jurisprudencial, introducido por el referido Auto del Tribunal Supremo de 10 de febrero de 2011, para inadmitir el recurso porque no se preparó conforme a esa nueva exigencia jurisprudencial. Dado que la recurrente no podía conocerla cuando presentó el escrito de preparación de su recurso de casación, se impone retroactivamente un novedoso régimen procesal desfavorable a la realización de un acto procesal totalmente concluido, lo que resulta contrario al derecho a la tutela judicial efectiva en su vertiente de acceso a los recursos. Por ello, el Abogado del Estado interesa que se dicte Sentencia estimatoria cuya doctrina constitucional sea que “el derecho fundamental de acceso al recurso garantiza a los justiciables que las nuevas máximas jurisprudenciales que imponen más severos requisitos de forma al escrito de preparación de un recurso de casación —cuyo incumplimiento pueda determinar la inadmisión del recurso— no se aplicarán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sociedad recurrente presentó escrito de alegaciones, registrado en este Tribunal el 26 de septiembre de 2013, ratificándose íntegramente en lo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mediante escrito registrado en este Tribunal el 24 de octubre de 2013,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queja referida a la lesión del derecho a la igualdad en la aplicación de la ley (art. 14 CE), considera el Fiscal que debe ser rechazada; la recurrente se limitaría a afirmar la pretendida vulneración constitucional, sin aportar las razones en que funda tal aserto. No correspondiendo al Tribunal Constitucional reconstruir de oficio las demandas de amparo (por todas, STC 107/2009, de 4 de mayo, FJ 2), este motivo de amparo habría de descartarse sin más detenimiento.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la posible vulneración del derecho a la tutela judicial efectiva (art. 24.1 CE), en la vertiente de acceso a los recursos, porque la inadmisión del recurso de casación se funda en un requisito jurisprudencial (anticipar en el escrito de preparación del recurso de casación los concretos preceptos o la jurisprudencia que se reputan infringidos) no previsto en la ley. Se considera aplicado con carácter retroactivo, en un momento en que tal requisito no era conocido por la recurrente ni predecible a tenor de la jurisprudencia precedente. Sostiene el Fiscal que también esta queja debe ser rechazada. El Auto de 17 de noviembre de 2011, que inadmite el recurso de casación, constituiría una resolución judicial debidamente motivada y no incurre en error patente, ni en arbitrariedad ni irrazonabilidad, lo que excluiría la invocada lesión del derecho a la tutela judicial efectiva. La exigencia de anticipar ya en el escrito de preparación del recurso las infracciones normativas o jurisprudenciales que luego se van a desarrollar en el escrito de interposición, también en el supuesto de recursos de casación contra Sentencias de la Audiencia Nacional, deriva —concluye el Fiscal— del propio tenor de los apartados c) y d) del art. 88.1 LJCA; podría afirmarse, incluso, que no es la jurisprudencia sino la propia norma legal la que impone dicho requisito, lo que implicaría la inexistencia de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febrero de 2015 se señaló para la deliberación y votación de la presente Sentencia el día 2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el Auto de la Sección Primera de la Sala de lo Contencioso-Administrativo del Tribunal Supremo de 17 de noviembre de 2011, que acordó no admitir a trámite el recurso de casación interpuesto contra la Sentencia de la Sala de lo Contencioso-Administrativo de la Audiencia Nacional de 26 de enero de 2011, recaída en el procedimiento ordinario núm. 24-2008. También impugna el Auto de 22 de marzo de 2012, que desestimó el incidente de nulidad de actuaciones promovido contra el citado Auto de inadmisión del recurso de casación, en cuanto no repara las lesiones constitucionales que a este se imputan.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resolución, imputa a las resoluciones recurridas diversas vulneraciones. (i) La de su derecho a la tutela judicial efectiva (art. 24.1 CE), en la vertiente de acceso a los recursos; porque el Auto impugnado se funda en un requisito de admisibilidad no exigido por la Ley. (ii) La vulneración de su derecho a la tutela judicial efectiva (art. 24.1 CE), en su vertiente de acceso a los recursos, en relación con el principio de seguridad jurídica (art. 9.3 CE); porque la exigencia de anticipar en el escrito de preparación del recurso de casación los concretos preceptos o la jurisprudencia que se reputan infringidos se ha aplicado con carácter retroactivo, en un momento en que aquella exigencia no era conocida ni predecible a tenor de la jurisprudencia precedente. (iii) La vulneración de su derecho a la igualdad en la aplicación de la Ley (art. 14 CE), pues entiende que se ha optado por una interpretación jurisprudencial contradictoria con varias resoluciones dictadas por el órgano judicial; siendo posteriores a la resolución que consumó el cambio interpretativo, se apartan del mismo de forma completamente inmotivada.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En ella hemos tenido la oportunidad de examinar otro supuesto de inadmisión de un recurso de casación por omitirse en el escrito de preparación la cita de las normas y jurisprudencia que el recurrente reputase infringidas. Asimismo en la STC 16/2015, de 16 de febrero, que desestima, aplicando la doctrina sentada por la STC 7/2015, el recurso de amparo núm. 1114-2012, interpuesto precisamente por la misma sociedad aquí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STC 7/2015,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El control constitucional de las resoluciones judiciales dictadas sobre los presupuestos o requisitos de admisión de los recursos que este Tribunal debe realizar tiene carácter externo; es por ello, si cabe, más limitado en lo referido al recurso de casación. El Tribunal Supremo tiene encomendada la función de interpretar la ley con el valor complementario que atribuye a su jurisprudencia el Código civil. El recurso de casación tiene, a su vez, naturaleza extraordinaria, de donde se sigue que su régimen procesal es más estricto (SSTC 37/1995, de 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pueden pues las condiciones de admisión de un recurso de casación ser más rigurosas que las propias de un recurso que haya de resolverse en grado de apelación [Sentencias del Tribunal Europeo de Derechos Humanos (SSTEDH) de 19 diciembre 1997, caso Brualla Gómez de la Torre c. España; y de 25 enero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SSTEDH recaídas en los casos Sociedad General de Aguas de Barcelona c. España, de 25 mayo 2000; Llopis Ruiz c. España, de 7 noviembre 2003; e Ipamark c. España, de 17 febrero 2004. Presentan en común juzgar resoluciones en las que nuestro Tribunal Supremo inadmitió recursos de casación por considerar que los recurrentes no habían justificado en sus respectivos escritos procesales la infracción de normas estatales o comunitarias que habían sido relevantes y determinantes del fallo de la sentencia recurrida. El Tribunal Europeo de Derechos Humanos desestimó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de inadmisión que es objeto de impugnación en el presente recurso, ha afrontado la interpretación del art. 89.1 LJCA (precepto que indica que en el escrito de preparación del recurso de casación se exprese “la intención de interponer el recurso, con sucinta exposición de la concurrencia de los requisitos de forma exigidos”). Considera que uno de esos requisitos ha de ser la cita de las normas y jurisprudencia que se estimen infringidas; en atención a que la fase de preparación del recurso de casación tiene sustantividad propia, sin que pueda quedar reducida a un trámite carente de trascendencia. Desde esa óptica, en el Auto impugnado se razona que la exigencia de la cita de las normas y jurisprudencia que el recurrente repute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ha tenido pues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imposición del mencionado requisito viole el derecho a la tutela judicial efectiva (art. 24.1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este Tribunal ha declarado repetidamente que la selección de normas aplicables y su interpretación corresponde, en principio, a los Jueces y Tribunales ordinarios en el ejercicio de la función jurisdiccional que con carácter exclusivo les atribuye el art. 117.3 CE. El control de este Tribunal sólo examinará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STC 95/1993, de 22 de marzo,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él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por lo que se refiere al derecho a la igualdad en la aplicación de la ley (art. 14 CE) y en lo que al presente caso importa, este Tribunal ha reiterado que está vedado a los órganos judiciales el cambio irreflexivo o arbitrario en la aplicación de una norma; esto equivale a mantener que, por el contrario, el cambio resulta legítimo cuando es razonado, razonable y con vocación de futuro, esto es, destinado a ser mantenido con continuidad, fundado en razones jurídicas objetivas que excluyan todo significado de resolución ad personam o de ruptura ocasional en una línea que se venga manteniendo con normal uniformidad antes de la decisión divergente o en la que se continúe con posterioridad (por todas, SSTC 105/2009, de 4 de mayo, FJ 4, y 178/2014, de 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Auto del Tribunal Supremo impugnado, lejos de ser una decisión particularizada y adoptada ad hoc por el órgano judicial para resolver ese solo caso o para aplicarlo exclusivamente a la recurrente, constituye la plasmación de un criterio jurisprudencial adoptado con carácter general y con vocación de permanencia para resolver todos los supuestos de las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lo argumentado en los anteriores fundamentos jurídicos, procede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entidad JOSEL,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recurso de amparo núm. 2860-2012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Sala en la que se sustenta la Sentencia, manifestamos nuestra discrepancia con la fundamentación jurídica y el fallo de esta. Consideramos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los votos particulares formulados a la SSTC 7/2015, de 22 de enero; y 16/2015, de 16 de febrero, a los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