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3176-2012, promovido por la mercantil France Telecom España, S.A.U., representada por el Procurador de los Tribunales don Roberto Alonso Verdú y asistida por la Abogada doña Esther Zamarriego Santiago, contra el Auto de la Sección Primera de la Sala de lo Contencioso-Administrativo del Tribunal Supremo de 15 de diciembre de 2011, que declaró la inadmisión del recurso de casación núm. 1542-2011, y contra la providencia de 10 de abril de 2012 que inadmitió a trámite el incidente de nulidad de actuaciones promovido contra aquél. Ha comparecido el Abogado del Estado, en la representación que ostenta, y ha intervenido el Ministerio Fiscal.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mayo de 2012 tuvo entrada en el registro general de este Tribunal escrito presentado por el Procurador de los Tribunales don Roberto Alonso Verdú, actuando en nombre y representación de la mercantil France Telecom España, S.A.U., y bajo la dirección letrada de la Abogada doña Esther Zamarriego Santiago,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en lo que a este recurso de amparo interesa,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interpuso recurso contencioso-administrativo contra la resolución del Tribunal Económico-Administrativo Central de 6 de octubre de 2009, (R.G. 113-09 RS 12-097), por la que se desestimó el recurso de alzada interpuesto frente a la resolución de 17 de julio de 2008 del Tribunal Económico-Administrativo Regional de Madrid, que desestimó la reclamación económico-administrativa núm. 28/17090/03, interpuesta contra la resolución estimatoria del recurso de reposición planteado frente a la carta de pago de la liquidación del impuesto sobre actividades económicas del ejercicio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el núm. 845-2009, la Sala de lo Contencioso-Administrativo de la Audiencia Nacional (Sección Sexta) dictó Sentencia desestimatoria el 20 de enero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preparó recurso de casación la sociedad demandante de amparo, mediante escrito registrado en la Audiencia Nacional el 16 de febrero de 2011, en el que puso de manifiesto la intención de interponerlo, la Sala competente para conocer del mismo y legitimación de la parte recurrente, el cumplimiento del plazo para la presentación del escrito y el carácter recurrible de la resolución impugnada. A ello añadió la precisión de que el recurso iba a fundarse en los motivos previstos en los apartados c) y d) del art. 88.1 Ley reguladora de la jurisdicción contencioso-administrativa (LJCA) Por oficio de 18 de febrero de 2011, se elevaron las actuaciones a la Sala Tercera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4 de abril de 2011, la actora presentó un escrito ante la Audiencia Nacional en el que manifestaba que, habiendo tenido conocimiento el 18 de marzo de 2011, de la doctrina contenida en el Auto dictado por la Sala de lo Contencioso-Administrativo del Tribunal Supremo (en adelante, ATS) 2927/2010, de 10 de febrero, en virtud del cual modificaba su doctrina relativa a los requisitos exigibles para la preparación del recurso de casación contra sentencias dictadas de la Audiencia Nacional [cuya publicación en la base de datos oficial del Consejo General del Poder Judicial (CENDOJ), según indica, tuvo lugar en fecha posterior a la señalada], procedía a adecuar el escrito de preparación del presente recurso a la nueva doctrina mantenida por el Tribunal Supremo en la materia citada”, con la advertencia de que “[d]icha adecuación se realiza, obviamente, para el caso de que dicha doctrina sea mantenida y reiterada por el Alto Tribunal … y considere que la misma resulta de aplicación incluso a los recursos de casación que hayan sido preparados con anterioridad a hacerse público el mencionado Auto. Asimismo solicitando que se tuviera por adecuado el escrito de preparación del recurso de casación formulado y, previos los trámites legales que procedan, se remitiese al Tribunal Supremo para su unión al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5 de abril de 2011, la entidad demandante de amparo interpuso recurso de casación ante el Tribunal Supremo, que fue registrado con el núm. 1542-2011. Por diligencia de ordenación de 8 de abril de 2011, la Sala Tercera del Tribunal Supremo tuvo por recibidos los autos de la Audiencia Nacional y por presentado el escrito de interposición del recurso de casación. Asimismo, y tras nombrar ponente, se tuvo por personado y parte, en calidad de recurrido, al Abogado del Estado, en nombre y representación de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27 de mayo de 2011 se dictó providencia por la que la Sala Tercera del Tribunal Supremo puso de manifiesto para alegaciones, la posible concurrencia de la causa de inadmisión consistente en: “No haber anunciado en el escrito de preparación del recurso de casación las correspondientes infracciones normativas o jurisprudenciales que se desarrollarán en el escrito de interposición [arts. 88.1, 89.1 y 93.2 a) LJCA, y Auto de la Sala de 10 de febrero de 2011, dictado en el recurso de casación 2927-2010]”. En cumplimiento de dicho trámite, el Abogado del Estado, en escrito registrado el 13 de junio de 2011, manifiesta no tener “nada que objetar a la inadmisión”. Por su parte, el 20 de junio de 2011, la sociedad recurrente formalizó escrito de oposición en el que se defiende la procedencia de la admisión del recurso de casación y se hace referencia a la presentación ante la Audiencia Nacional del escrito de subsanación de 4 de abril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15 de diciembre de 2011, la Sala Tercera del Tribunal Supremo (Sección Primera) acordó declarar la inadmisión del recurso de casación. La Sala se remitió a los AATS de 10 de febrero, 12 de mayo y 16 de junio, todos de 2011, para terminar concluyendo que el recurso es inadmisible por estar defectuosamente preparado, al no haber sido anunciados en el escrito de preparación los motivos del art. 88.1 LJCA con las exigencias que en los citados Autos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alcanzar dicha conclusión, la Sala rechazó globalmente las alegaciones de la parte que según el Auto de inadmisión son, en síntesis, las siguientes: “que la ley jurisdiccional no exige que el escrito de preparación del recurso de casación contra la sentencia de la Audiencia Nacional cite los preceptos o la jurisprudencia que se consideran infringidos; que resulta contraria tal exigencia a la jurisprudencia anterior de este Tribunal; que resulta contraria a los principios de buena fe, confianza legítima, seguridad jurídica, igualdad, a la garantía interdicción de la arbitrariedad y con vulneración del derecho tutela judicial efectiva, pues entiende que tal nueva exigencia se aplica con carácter retroactivo a su caso; y que el posible efecto del escrito de preparación ha sido subsanado mediante escrito de 4 abril 2011, siendo tal efecto 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argumentación reiterando “que la doctrina relativa a las exigencias predicables del escrito de preparación del recurso de casación, en lo que atañe a la cita de las infracciones normativas o jurisprudenciales que se pretendan denunciar y desarrollar en el escrito interposición …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con cita de varias Sentencias de este Tribunal, la Sala sostiene la posibilidad de inadmitir un recurso de casación por un criterio interpretativo posterior al momento de presentación del escrito de preparación del recurso, acogiéndose al “mínimo efecto retroactivo”. Entiende, en síntesis, que, “[e]n caso contrario, quedaría petrificada la nueva interpretación jurisprudencial a aquellos escritos de interposición de recursos que fueron presentados debidamente ante los Tribunales de Justicia a partir del momento del ‘anuncio’ del cambio de criterio, ‘anuncio’ a que no están obligados los órganos jurisdiccionales, tal y como tiene asentada la doctrina constitucional referida”. Recuerda, además, que “una resolución judicial que incorpora un cambio de criterio jurisprudencial y cuya eficacia fuese meramente prospectiva sería un mero obiter dictum, amén de que se frustraría la finalidad del proceso porque la resolución no afectaría a las partes”. Añade la Sala que “[e]l único límite temporal al que se limitan los cambios de criterio jurisprudenciales, de conformidad con la doctrina del Tribunal Constitucional, es a las situaciones jurídicas que gozan de la protección de cosa juzgada”. Así pues y dado que la inobservancia del art. 89.2 LJCA afecta la sustancia misma del escrito de preparación, considera que su falta no puede subsanarse en actuaciones posteriores sin desnaturalizar su significado, por lo que procede, en aplicación del art. 93.2.a) LJCA la inadmisión del recurso cuando el escrito de preparación no se haya ajustado a los requisitos exigibles, sin que pueda tenerse por subsanada la defectuosa preparación del recurso interpuesto con la presentación del escrito de la recurrente de 4 abril de 2011. Por último, el Auto rechaza que se hubiera vulnerado el derecho a la tutela judicial efectiva consagrado en el art. 24.1 CE, porque un proceso contencioso-administrativo quede resuelto definitivamente en única instancia. Tampoco estima que se produzca tal vulneración cuando se aprecia razonadamente una causa de inadmisión del recurso de casación prevista legalmente (STC 26/2003, de 10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22 de febrero de 2012, la sociedad demandante de amparo promovió incidente de nulidad de actuaciones en el que alegó, con una muy extensa argumentación, la vulneración del derecho a la igualdad en la aplicación judicial de la ley (art. 14 CE) y del derecho a la tutela judicial efectiva en su vertiente de acceso a los recursos (art. 24.1 CE). En el escrito se alegaba, en resumen, que el Tribunal Supremo había modificado, de manera arbitraria y sin motivación, su jurisprudencia sobre los requisitos del escrito de preparación del recurso de casación contra sentencias dictadas por la Audiencia Nacional, exigiendo sin justificación uno no contemplado en la Ley y aplicándolo a escritos presentados con anterioridad a la adopción del nuevo criterio, con vulneración de la doctrina del Tribunal Constitucional en materia de subsanación de defectos procesales. Aduce también, en relación con la vulneración del art. 14 CE, que con posterioridad al ATS de 10 de febrero de 2011, la misma Sección de la Sala dictó Autos contrarios a esta nueva jurisprudencia, retomando el criterio anterior que exigía sólo la mención de los motivos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providencia de 10 de abril de 2012 se acordó la inadmisión a trámite del incidente de nulidad de actuaciones promovido contra el Auto de 15 de diciembre de 2011. La Sala aprecia que las alegaciones de la parte sólo ponen de manifiesto su discrepancia con la declaración de inadmisión del recurso de casación y con los razonamientos jurídicos que fundan dicho pronunciamiento, utilizando el incidente de nulidad actuaciones como si de un recurso de súplica se tratara, intentando soslayar el obstáculo del art. 93.6 LJCA. A lo dicho añade que “la invocación de los principios constitucionales alegados no pueden servir de su excusa para soslayar la aplicación de la ley, en este caso, la que establece las reglas para la correcta preparación del recurso de casación”. Por último, señala que la inadmisión del recurso de casación no lesiona el derecho de acceso a los recursos (art. 24.1 CE), por cuanto, como así ha sido observado por el Tribunal Constitucional, “es un derecho de configuración legal en el que no resulta aplicable con la misma intensidad el principio pro actione, por lo que la inadmisión de los recursos de forma motivada, en base a la aplicación de una causa legal y la interpretación de las normas procesales que la regulan, constituye una función jurisdiccional de exclusiva competencia de los Jueces y Tribunales, que sólo trasciende al plano constitucional cuando el Tribunal incurra en error patente, arbitrariedad o manifiesta irracionabilidad”. Rechaza, igualmente, que la declaración de inadmisión contradiga el derecho un proceso equitativo, que garantiza el art. 6.1 Convenio Europeo de Derechos Humanos, “ya que no se interpreta de forma rigorista el art. 86 LJCA, al respetarse el principio de proporcionalidad entre las limitaciones impuestas al derecho de acceso al tribunal para que examine el recurso de las consecuencias de su aplicación (Sentencias del Tribunal Europeo de Derechos Humanos de 9 de noviembre de 2004 [caso Sáez Maeso] y 7 de junio de 2007 [caso SALT Hiper])”.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mercantil recurrente basa su recurso de amparo en la vulneración sus derechos a la igualdad en la aplicación de la ley (art. 14 CE) y a la tutela judicial efectiva (art. 24.1 CE), en su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 recurrente parte de que la exigencia de la anticipación al trámite de preparación de la cita de los concretos preceptos o la jurisprudencia que se reputan infringidos carece de cobertura legal en la Ley jurisdiccional, pues dicho requisito solo se exige en el supuesto concreto del art. 89.2 LJCA, relativo a la impugnación de las resoluciones dictadas por los Tribunales Superiores de Justicia. De acuerdo con los arts. 89.1 y 92.1 LJCA, cuando las resoluciones recurridas proceden de la Audiencia Nacional, la cita de las normas y la jurisprudencia infringidas se debe producir en el escrito de interposición del recurso. Defiende, por ello, que el ATS de 15 diciembre de 2011, objeto del presente recurso amparo, no sólo ha inadmitido el recurso de casación en aplicación de un requisito no contemplado en la ley, sino que dicho requisito ha sido aplicado de forma sorpresiva e inesperada como consecuencia del cambio jurisprudencial acaecido con el ATS de 10 de febrero 2011 (recurso núm. 2927-2010), que considera arbitrario y no motivado.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en síntesis, que “habiendo preparado un recurso de casación cumpliendo escrupulosamente con la normativa y, especialmente, con la jurisprudencia que la interpretaba en aquel momento, ha visto, sin embargo, inadmitido su recurso por un cambio jurisprudencial posterior, carente de cualquier fundamento legal, no justificado y que, aplicado con carácter retroactivo, ha hecho que, sin género de duda … se haya vulnerado de manera flagrante su derecho a la tutela judicial efectiva en su vertiente de acceso a los recursos (art. 24 CE), así como su derecho a la igualdad, en su vertiente de igualdad en la aplicación judicial del Derecho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quejas son extensamente desarrolladas en la demanda de amparo con amplia cita jurisprudencial, tanto del Tribunal Constitucional, como del Tribunal Supremo. Respecto de la alegada vulneración del derecho a la igualdad en la aplicación de la ley (art. 14 CE), la demandante de amparo argumenta que el cambio jurisprudencial que lleva a cabo el Auto impugnado supone una flagrante vulneración del citado derecho, pues se presenta como irrazonado o arbitrario, por no haber justificado los motivos jurídicos que amparan el cambio de criterio; irrazonable, especialmente teniendo en cuenta que se pretende su aplicación con efectos ex tunc; y sin vocación de permanencia, en la medida en que existen Autos y Sentencias posteriores a dicho Auto en los que no se ha exigido el referido requisito de concretar en el escrito de preparación del recurso de casación contra sentencias de la Audiencia Nacional, la norma o jurisprudencia que se considera infringida. Además, defiende que concurren las exigencias constitucionales precisas para fundamentar que se ha producido una efectiva vulneración del derecho de igualdad en aplicación de la ley (art. 14 CE), en cuanto se acredita un tertium comparationis válido (identidad del órgano judicial que dicta la resolución, identidad fáctica del supuesto a resolver, alteridad y ausencia de motivación para operar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la vulneración del derecho a la tutela judicial efectiva (art. 24.1 CE), en su vertiente de acceso al recurso, la mercantil recurrente considera que la decisión adoptada por la Sección Primera de la Sala Tercera, carece de cualquier cobertura legal, dado que no se contiene ni se deduce de la Ley jurisdiccional; antes bien, resulta abiertamente contraria a la misma e, incluso, a la jurisprudencia del Tribunal Supremo relativa a los requisitos predicables de los escritos de preparación de recursos de casación, así como a la delimitación del concepto “requisitos de forma” realizada por el Tribunal Constitucional. Añade que la vulneración se produce, igualmente, por la aplicación retroactiva de un nuevo criterio jurisprudencial y por la indefensión que provoca tanto la falta de ofrecimiento para remediarlo, como la decisión de no acceder a la subsanación “de los defectos de que pudiera adolecer el escrito de preparación en el plazo concedido al efecto, en tanto que se le están exigiendo requisitos que no estaban en vigor al tiempo de presentarse el escrito de preparación, que no están recogidos en la Ley y, además, que no habían sido identificados como tales requisitos por la Jurisprudencia del Tribunal Supremo en su consolidada doctrina configuraba a lo largo de más de 12 años”. A su juicio, la Sala Tercera debió de tener en consideración su diligente proceder que demostró al aportar el “escrito de adecuación del escrito de preparación original”, con anterioridad a que la Sala pudiera advertir los posibles defectos.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23 de julio de 2012, la mercantil recurrente presentó escrito ante la Sala Primera de este Tribunal, en el que se pone de manifiesto que había tenido conocimiento de la notificación realizada el día 20 julio 2012 por la Sala Primera de este Tribunal, por la que se comunica la admisión a trámite del recurso de amparo número 2399-2012, presentado por la Compañía de Distribución Integral Logista, S.A., y que tiene idéntico objeto del presente. El escrito concluye suplicando, que el mismo se tenga por presentado en tiempo y forma, así como los documentos que se acompañan, y a la vista de las manifestaciones en él realizadas y de la documentación aportada, y previa admisión del recurso, proceda a dictar Sentencia en la que otorgue el amparo solicitado por la parte, de acuerdo con la súplica de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mayo de 2013, la Sala Primera del Tribunal Constitucional, de conformidad con lo dispuesto en el art. 11.2 de la Ley Orgánica del Tribunal Constitucional (LOTC), acuerda conocer del presente recurso de amparo y admitir a trámite la demanda presentada. Asimismo, en aplicación de lo dispuesto en el art. 51 LOTC, acordó dirigir atenta comunicación a la Sección Primera de la Sala de lo Contencioso-Administrativo del Tribunal Supremo y a la Sección Sexta de la Sala de lo Contencioso-Administrativo de la Audiencia Nacional, a fin de que, en el plazo de diez días, remitieran certificación o fotocopia adverada de las actuaciones correspondientes a los recursos números 1542-11 y 845-09,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26 de junio de 2013, el Abogado del Estado presentó escrito ante este Tribunal suplicando que, con la admisión del mismo, en la representación que ostenta, se le tenga por personado y parte en el presente recurso de amparo, señalando que se entiendan con él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este Tribunal, de fecha de 28 junio 2013, se tuvieron por recibidos los testimonios de las actuaciones remitidos por la Sala Tercera del Tribunal Supremo y por la Sección Sexta de la Sala de lo Contencioso-Administrativo de la Audiencia Nacional, y el escrito del Abogado del Estado a quien se tuvo por personado y parte en representación de la Administración Pública, con quien se entenderán la presente y sucesivas diligencias (a los solos efectos de evacuar el trámite de alegaciones del art. 52 LOTC).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sus alegaciones mediante escrito registrado el 26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descartando que se haya vulnerado el derecho a la igualdad en la aplicación judicial de la ley (art. 14 CE). A su juicio, el ATS de 15 de diciembre de 2011, por el que se inadmite el recurso de casación interpuesto por la demandante de amparo, no hace sino aplicar la línea jurisprudencial iniciada por el ATS de 10 de febrero de 2011, siendo irrelevante que existan resoluciones aisladas que se aparten de aquélla. Considera, por el contrario, que el Auto impugnado vulneró su derecho de acceso a los recursos (art. 24.1 CE). Tras recordar la doctrina constitucional sobre la inadmisión del recurso de casación contencioso-administrativo por defectos insubsanables del escrito de preparación, procede al análisis del art. 89.1 LJCA y, en especial, el contenido de la expresión “los requisitos de forma exigidos”. Estima, al respecto, que si bien desde el plano de la legalidad es muy discutible la nueva interpretación jurisprudencial contenida en el ATS de 10 de febrero de 2011, la misma no puede ser calificada de irracional o arbitraria. Dicho lo cual, advierte de que el auténtico problema constitucional que la demanda suscita, radica en la aplicación retrospectiva o retroactiva de la máxima jurisprudencial contenida en citado Auto, inexistente cuando se presentó el escrito de preparación, para inadmitir el recurso de casación precisamente porque no se preparó conforme a ella. A su juicio, es irrazonable exigir, “para la realización de un acto procesal agotado, el cumplimiento de unos requisitos de forma que no existían en el momento en que se efectúo dicho acto procesal; requisitos que, por ello, la parte no tenía ninguna posibilidad de conocer ni de cumplir”. Considera que “[l]a razonabilidad se extiende no sólo a la interpretación que se hace de la norma, sino a la forma en que esa interpretación se aplica a los supuestos de hecho sujetos a la misma”, por lo que entiende que con tal proceder la Sala de lo Contencioso-Administrativo del Tribunal Supremo ha vulnerado el art. 24.1 CE en su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Abogado del Estado muestra su interés en que se dicte sentencia estimatoria, cuya doctrina constitucional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 fundadas en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30 julio de 2013, la entidad demandante de amparo presentó escrito de alegaciones, remitiéndose al escrito de demanda de amparo que dio inicio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mediante escrito registrado el 9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 hecho, el Ministerio Fiscal inicia su argumentación haciendo referencia a las vulneraciones aducidas por la mercantil recurrente y trayendo a colación la jurisprudencia elaborada por el Tribunal Constitucional sobre las mismas. Considera que procede comenzar por el motivo de amparo relativo a la vulneración del derecho a la igualdad en la aplicación de la ley (art. 14 CE), pues de prosperar, carecería de sentido efectuar una consideración autónoma sobre la infracción del derecho a la tutela judicial efectiva (art. 24.1 CE), en la vertiente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realiza, en primer lugar, una “recapitulación fáctica” de la jurisprudencia del Tribunal Supremo relativa a los requisitos exigibles al escrito de preparación del recurso de casación, que inicia con el ATS 14419/2010, de 14 de octubre (recurso núm. 951-2010). Finalizada ésta, procede a su examen y señala, una vez afirmado que es evidente la existencia de un cambio de criterio en la Sección Primera de la Sala de lo Contencioso-Administrativo del Tribunal Supremo, que el problema radica en que la exigencia del ATS de 10 de febrero de 2011, relativa a la obligatoriedad de indicar en la fase de preparación del recurso de casación no sólo el concreto o concretos motivos en que se fundará el recurso, sino también los concretos preceptos o jurisprudencia que se reputan infringidos o el contenido de las infracciones normativas o jurisprudenciales que se pretendan denunciar y desarrollar en el escrito de interposición del recurso de casación, cuando se interponen recursos de casación frente a resoluciones dictadas por la Audiencia Nacional, no ha sido seguida de modo unánime por la Sección Primera de la Sala Tercera del Tribunal Supremo. Advierte que Autos y Sentencias que han sido dictados por la Sala Tercera del Tribunal Supremo con posterioridad al ATS de 10 de febrero de 2011, han seguido manteniendo, como así lo revelan las resoluciones citadas por la recurrente en la demanda de amparo, la posición “histórica” en relación con los requisitos exigibles para la válida formulación del escrito de preparación del recurso de casación, a pesar de haberse fijado un nuevo criterio. Lo que, a su juicio, pone en duda que “la solución concretada en el citado Auto, tuviera una verdadera voluntad de permanencia por responder a una interpretación abstracta y general de la norma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comprobar la existencia de la alegada vulneración del art. 14 CE, el Ministerio Fiscal destaca que la parte recurrente ha aportado un válido término de comparación para argumentar la misma: acompaña a su demanda el Auto impugnado en amparo y otros cuatro Autos dictados por la misma Sala y Sección y que siguen un criterio distinto al ATS de 10 de febrero de 2011 [AATS 1932/2011, 17 febrero de 2011 (recurso núm. 4600-2010), 4046-2011, 24 marzo de 2011 (recurso núm. 3896-2010), 3667-2011, 17 marzo 2011 (recurso núm. 6250-2010), y 8516-2011, 16 junio 2011 (recurso núm. 5151-2010)]. También señala que el Auto ahora impugnado “no contiene referencia suficiente a la circunstancia de que esa misma Sección hubiera dictado previamente, pero vigente ya la doctrina fijada por el ATS 2371/2011, de 10 febrero 2011, al menos otros cuatro Autos en sentido diferente al de aquél, como tampoco contiene una justificación explícita del cambio de criterio producido entre los casos que ahora trae a colación la parte recurrente en amparo y el Auto de que ahora se trata”, lo que, a su juicio, “parece en todo caso inexcusable”. Por lo expuesto, considera que, en el presente caso, “carece de dificultad apreciar” la existencia de todos y cada uno de los requisitos establecidos por la doctrina del Tribunal Constitucional para entender vulnerado el derecho a la igualdad en la aplicación judicial de la ley (art. 14 CE): acreditación del tertium comparationis, identidad de órgano judicial, alteridad y ausencia de toda motivación que justifique en términos generalizables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Fiscal interesa se dicte sentencia por la que se declare que se ha vulnerado el derecho fundamental a la igualdad en la aplicación de la ley (art. 14 CE) de la mercantil demandante de amparo, y se la restablezca en su derecho y, a tales fines, se acuerde la nulidad del Auto de 15 de diciembre de 2011 por el que se inadmitió el recurso de casación, así como la providencia que inadmitió el incidente de nulidad actuaciones formulado contra él, retrotrayendo las actuaciones al momento procesal inmediatamente anterior al dictado del citado Auto, para que se dicte una nueva resolución respetuosa con el derecho fundamental que ha de ser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febrero de 2015 se señaló para deliberación y fallo de la Sentencia el día 2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invocaciones constitucionales en que se fundamenta este recurso ya han sido objeto de análisis por el Pleno de este Tribunal en la STC 7/2015, de 22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remisión a lo expuesto en la Sentencia citada, debe desestimarse la lesión aducida del derecho a la tutela judicial efectiva (art. 24.1 CE) por falta de cobertura legal de la causa de inadmisión apreciada, ya que, tal como se argumentó extensamente en el fundamento jurídico 2 de la sentencia,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 descartarse la alegada lesión del derecho a la igualdad en la aplicación de la ley. En el fundamento jurídico 4 de la Sentencia citada, ya se puso de manifestó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ad casum o ad personam (para un caso o para una persona) y razona explícitamente la alteración doctrinal, que se justifica a partir de la finalidad que debe cumplir 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debe estimarse la vulneración del derecho a la tutela judicial efectiva (art. 24.1 CE) fundamentada en que, contrariamente al parámetro de racionalidad, la decisión de inadmisión impugnada no tomó en consideración que la exigencia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también se expuso en la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mercantil France Telecom España, S.A.U.,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15 de diciembre de 2011 y de la providencia de 10 de abril de 2012, dictados en el recurso de casación núm. 1542-2011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recurso de amparo núm. 3176-2012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Sala en la que se sustenta la Sentencia, manifestamos nuestra discrepancia con la fundamentación jurídica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marzo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