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 de marzo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3315-2012, promovido por la mercantil France Telecom S.A.U., representada por el Procurador de los Tribunales don Roberto Alonso Verdú y asistida por la Abogada doña Esther Zamarriego Santiago, contra el Auto de la Sección Primera de la Sala de lo Contencioso-Administrativo del Tribunal Supremo, de fecha 10 de noviembre de 2011, que resolvió la inadmisión del recurso de casación núm. 1179-2011, interpuesto por la sociedad demandante de amparo, y contra el Auto de fecha 22 de marzo de 2012, que desestimó el incidente de nulidad de actuaciones interpuesto contra la resolución precedente. Ha comparecido el Abogado del Estado, en la representación que ostenta, y ha intervenido el Ministerio Fiscal. Ha sido Ponente el Magistrado don Pedro José González Trevijano-Sánchez,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junio de 2012 tuvo entrada en el Registro General de este Tribunal el escrito presentado por el Procurador don Roberto Alonso Verdú, actuando en nombre y representación de la mercantil France Telecom, S.A.U., y bajo la dirección letrada de la Abogada doña Esther Zamarriego Santiago, mediante el cual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interpuso recurso contencioso-administrativo contra la resolución del Tribunal Económico-Administrativo Central de fecha 14 de abril de 2009, registrada con el núm. 00/03160/2008, por la que se desestimó la reclamación económico-administrativa interpuesta contra el acuerdo dictado por la Jefatura adjunta de la dependencia de asistencia y servicios tributarios de la Delegación central de grandes contribuyentes de la Agencia Estatal de la Administración Tributaria (AEAT), de fecha 11 de diciembre de 2007, en virtud del cual se confirmaron las providencias de apremio por diferentes recargos, cuya cuantía global alcanzó la cifra de 2.120.955,11 €.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Seguido el procedimiento por sus trámites, con el núm. 193-2009, la Sala de lo Contencioso-Administrativo de la Audiencia Nacional (Sección Séptima) dictó, en fecha 24 de enero de 2011, Sentencia desestimatoria de las pretensiones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escrito presentado el día 14 de febrero de 2011, la sociedad demandante de amparo interesó que se tuviera por preparado recurso de casación contra la Sentencia antes indicada. En dicho escrito puso de manifiesto la intención de interponer recurso de casación y, a su vez, indicó que el recurso iba a fundarse en los motivos previstos en los arts. 88.1 c) y 88.1 d)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diligencia de ordenación de fecha 27 de febrero de 2011, la Sala de lo Contencioso-Administrativo de la Audiencia Nacional tuvo por preparado el recurso de casación. Asimismo, dicho órgano acordó emplazar a la demandante para que compareciera ante la Sala Tercera del Tribunal Supremo. Una vez recibidas las actuaciones por el órgano ad quem, el día 1 de abril de 2011 la actora interpuso el recurso de casación ante la Sala Tercera del Tribunal Supremo. El recurso de casación fue registrado con el número 1179-2011.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día 30 de marzo de 2011, la sociedad demandante de amparo presentó escrito ante la Sala de lo Contencioso-Administrativo de la Audiencia Nacional, en el cual manifestó haber tenido conocimiento del Auto dictado por la Sala de lo Contencioso-Administrativo del Tribunal Supremo (en adelante ATS) 2927/2010, de 10 de febrero, a cuyo través modificó la doctrina relativa a los requisitos exigibles para la preparación del recurso de casación contra sentencias dictadas por la Audiencia Nacional. Por ello, en orden a adecuar el escrito de preparación del recurso de casación a las exigencias establecidas por el la Sala Tercera del Tribunal Supremo, la sociedad demandante procedió a indicar las concretas infracciones normativas o jurisprudenciales cometidas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diligencia de ordenación de fecha 5 de abril de 2011, la Sala Tercera del Tribunal Supremo tuvo por recibido un oficio de la Audiencia Nacional, en el que se acompañó el escrito de adecuación de la preparación del recurso de casación presentado por la sociedad demandante de amparo, y ordenó unir el escrito a las actuaciones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providencia de 31 de mayo de 2011, la Sala Tercera del Tribunal Supremo confirió traslado a las partes, a fin que formularan alegaciones sobre la posible concurrencia de la causa de inadmisión, consistente en no haber citado en el escrito de preparación las infracciones normativas o jurisprudenciales que iban a desarrollarse en el escrito de interposición [arts. 88.1, 89.1 y 93.2 a)], conforme a lo establecido en el ATS de 10 de febrero de 2011, dictado en el recurso de casación 2927-2010.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20 de junio de 2011 la sociedad demandante evacuó el traslado conferido. En síntesis, la referida entidad manifestó haber preparado el recurso de casación conforme al criterio jurisprudencial establecido con anterioridad al ATS de 10 de febrero de 2011; que en el momento de la preparación no pudo tener conocimiento del cambio de criterio, puesto que el referido Auto aún no había sido publicado; que las nuevas pautas exigidas son contrarias a lo establecido en los arts. 89 y 93 LJCA; que, en cualquier caso, dichas pautas no pueden ser aplicadas a los recursos de casación preparados con anterioridad a la publicación del referido Auto; y, por último, que ante el órgano a quo había presentado un escrito de adecuación a las nuevas exigencias establecidas para la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Auto de 10 de noviembre de 2011, la Sala Tercera del Tribunal Supremo (Sección Primera) acordó la inadmisión del recurso de casación. La Sala se remitió a la doctrina establecida en ATS de 10 de febrero de 2011, del que transcribió varios de sus fundamentos, y concluyó que no habiéndose citado, en el escrito de preparación del recurso formalizado por la sociedad recurrente, las infracciones normativas o jurisprudenciales que iban a desarrollarse en el escrito de interposición, procedía la inadmisión del recurso de casación. Por otro lado, la Sala consideró de aplicación lo que la doctrina constitucional ha calificado como “mínimo efecto retroactivo”, de manera que el nuevo criterio jurisprudencial resulta extensible a todo supuesto o situación jurídica que tenga ante sí para resolver, con independencia del momento temporal en que se interpuso el recurso. Finalmente, la Sala también rechazó la eficacia de la subsanación intentada por la sociedad demandante, a través del escrito de adecuación posterior al trámite de preparación, al entender que el incumplimiento de la carga establecida en el art. 89.1 de la Ley jurisdiccional acarrea un vicio de carácter sustancial, y no un simple defecto de forma, amén de que los requisitos que configuran los presupuestos procesales deben ser cumplidos, de manera indeclinable, en tiempo y forma. Por todo ello, entendió que el defecto procesal apreciado era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4 de enero de 2012, la sociedad demandante de amparo promovió incidente de nulidad de actuaciones en el que, con una extensa argumentación, alegó la vulneración del derecho a la igualdad en la aplicación judicial de la ley (art. 14 CE) y del derecho a la tutela judicial efectiva en su vertiente de acceso a los recursos (art. 24.1 CE), en relación con el principio de seguridad jurídica contenido en el art. 9.3 CE. Denunció, en resumen, que el Tribunal Supremo había introducido una modificación sustancial respecto de los requisitos del escrito de preparación del recurso de casación contra sentencias dictadas por la Audiencia Nacional que, además de inesperado, resulta sorprendente, arbitrario e infundado. Dicho cambio de criterio impone el cumplimiento de unos requisitos no contemplados en la Ley y, además, se aplica a escritos de preparación presentados con anterioridad a que pudiera conocerse el nuevo criterio establecido. Asimismo, afirma que la resolución impugnada contraviene la doctrina del Tribunal Constitucional en materia de subsanación de defectos procesales, con la consiguiente indefensión que se provoca a la parte recurrente. Finalmente, destaca la falta de vocación de permanencia de la modificación jurisprudencial, lo que comporta una vulneración del derecho a la igualdad en la aplicación judicial de la ley, puesto que con posterioridad al ATS de 10 de febrero de 2011 se han dictado resoluciones en las que se retoma el criterio precedente, en cuya virtud no resulta exigible la indicación expresa, en el escrito de preparación del recurso de casación, de las normas o doctrina jurisprudencial infringida.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Auto de 22 de marzo de 2012 fue desestimado el incidente de nulidad de actuaciones promovido contra el Auto de 10 de noviembre de 2011. En esencia, el órgano judicial considera que la demandante se limita a discrepar de las razones tenidas en consideración para inadmitir el recurso de casación, asimilando el incidente de nulidad a un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aduce la vulneración del derecho a la igualdad en la aplicación judicial de la ley (art 14 CE) y del derecho a la tutela judicial efectiva sin indefensión, en su vertiente del acceso a los recursos (art. 24.1 CE). En síntesis, tales vulneraciones se asientan en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Auto de 10 de noviembre de 2011, en cuya virtud se inadmitió el recurso de casación, exige al recurrente anticipar, en el escrito de preparación del recurso de casación, los concretos preceptos o la jurisprudencia que se reputan infringidos. Dicha imposición carece de cobertura en la Ley jurisdiccional, puesto que ningún precepto de la citada lo exige, cuando se impugnan sentencias dictadas por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el criterio sustentado en el Auto de 10 de noviembre de 2011 se ha aplicado con carácter retroactivo, pues no era conocido ni predecible al momento de preparar el recurso de casación. A su vez, la sociedad demandante advierte de la quiebra de los principios de seguridad jurídica, buena fe y confianza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cambio de criterio efectuado por la Sala Tercera del Tribunal Supremo no tiene vocación de permanencia, pues con posterioridad al ATS de 10 de febrero de 2011 se han dictado Sentencias y Autos contrarios a la jurisprudencia contenida en esa resolución; entre otros, los AATS, de 17 de febrero de 2011 (recurso núm. 4600-2010), de 24 de febrero de 2011 (recurso núm. 3896-2010) , de 17 de marzo de 2011 (recurso núm. 6250-2010) y de 16 de junio de 2011 (recurso núm. 5151-2010), así como la STS de fecha 30 de marzo de 2011 (recurso núm. 3143-2006).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destaca que, una vez tuvo conocimiento de la doctrina enunciada en el ATS de 10 de febrero de 2011, en fecha 30 de marzo de 2011 presentó ante el órgano a quo un escrito de adecuación a las nuevas exigencias. Sin embargo, la Sala Tercera del Tribunal Supremo no reconoció eficacia alguna a dicho escrito, con manifiesta vulneración de la doctrina constitucional sobre subsanación de defectos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fecha 18 de septiembre de 2013, el Magistrado de este Tribunal don Juan José González Rivas solicitó se le tuviera por abstenido en el presente recurso, dada la concurrencia de la causa de abstención prevista en el art. 219.11 de la Ley Orgánica del Poder Judicial (LOPJ), de aplicación supletoria conforme a lo establecido en el art. 80 de la Ley Orgánica del Tribunal Constitucional (LOTC), habida cuenta de que formó parte de la Sección Primera de la Sala Tercera del Tribunal Supremo, órgano este que dictó el Auto de inadmisión de 10 de noviembre de 2011, del que trae causa el presente recurso de amparo. Por Auto de fecha 19 de septiembre de 2013, la Sección Tercera de este Tribunal resolvió estimar justificada la causa de abstención invocada, apartando definitivamente del conocimiento del presente recurso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10 de octubre de 2013, la Sala Segunda del Tribunal Constitucional acordó admitir a trámite la demanda de amparo. Asimismo, en aplicación de lo dispuesto en el art. 51 LOTC, dispuso dirigir atenta comunicación al Tribunal Supremo y a la Audiencia Nacional a fin de que, en el plazo de diez días, remitieran certificación o fotocopia adverada de las actuaciones correspondientes al recurso de casación núm. 1179-2011 y al recurso núm. 193-2009,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fecha 28 de octubre de 2013, el Abogado del Estado, en la representación que le es propia, solicitó que se le tuviera por personado y parte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la Secretaría de Justicia de la Sala Segunda de este Tribunal, de fecha 5 de noviembre de 2013, se tuvo por personado y parte al Abogado del Estado, en representación de la Administración del Estado. A tenor de lo dispuesto en el art. 52.1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sus alegaciones mediante escrito registrado el día 3 de diciembre de 2013. En síntesis, considera que, a la luz de la doctrina constitucional, el Auto de inadmisión combatido en amparo vulnera el derecho al acceso a los recursos que garantiza el art. 24.1 CE. Para el Abogado del Estado el auténtico problema constitucional que la demanda suscita radica en la aplicación retrospectiva de las nuevas máximas jurisprudenciales plasmadas en el ATS de 10 de febrero de 2011, que la demandante no podía conocer cuando preparó el recurso de casación. En el presente caso, la inadmisión del recurso de casación se sustenta, precisamente, en que no se preparó conforme a las referidas máximas, lo que comporta imponer retroactivamente un novedoso régimen procesal desfavorable a la realización de un acto procesal totalmente concluido. Por tanto, la cuestión principal radica en la irrazonabilidad de una decisión que impone unos requisitos de forma que la parte no tenía posibilidad de conocer ni, por tanto, de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Abogado del Estado interesa que se dicte sentencia cuya doctrina refleje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contrariando las exigencias mínimas de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de fecha 9 de diciembre de 2013, la sociedad demandante formuló sus alegaciones. En esencia, dicha entidad se remite a lo ya manifestado en el escrito de demanda, reiterando las pretensiones interesadas en dicho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presentó sus alegaciones mediante escrito registrado el 20 de diciembre de 2013. En primer lugar, compendia los hechos más relevantes que atañen al presente recurso. En segundo término, sintetiza la doctrina del Tribunal Constitucional sobre el acceso a los recursos y la evolución de la jurisprudencia del Tribunal Supremo sobre los requisitos que debe reunir el escrito de preparación del recurso de casación contencioso-administrativo. Finalmente, a la vista de las alegaciones formuladas en la demanda de amparo concluye que se ha vulnerado el derecho a la igualdad en la aplicación judicial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del Ministerio Fiscal en torno a la lesión del art. 14 CE se desarrolla, en síntesis,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sociedad demandante de amparo ha aportado un válido término de comparación, pues oportunamente cita los AATS 1932-2011, de 17 de febrero de 2011 (recurso núm. 4600-2010), 3667-2011, de 17 de marzo de 2011 (recurso núm. 6250-2010), y 8516-2011, de 16 de junio de 2011 (recurso núm. 5151-2010), todos ellos dictados por la Sección Primera, en relación con recursos de casación entablados contra sentencias dictadas por la Sala de lo Contencioso-Administrativo de la Audiencia Nacional, en ninguno de los cuales se exige la indicación, en el escrito de preparación del recurso de casación, de los concretos preceptos o jurisprudencia que se reputan infringidos o el contenido de las infracciones normativas o jurisprudenciales que se pretendan denunciar y desarrollar en el escrito de interposición del recurso de casación. Este dato permite constatar la efectiva y necesaria identidad entre los supuestos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suma, que en la presente hipótesis el Auto ahora impugnado —el Auto dictado por la Sección Primera de la Sala de lo Contencioso-Administrativo del Tribunal Supremo en el recurso de casación núm. 1179-2011, de fecha 10 de noviembre de 2011—, no contiene referencia suficiente a la circunstancia de que esa misma Sección hubiera dictado previamente —vigente ya la doctrina fijada por el ATS 2371/2011, de 10 de febrero— al menos otros Autos en sentido diferente al de aquél, como tampoco contiene el Auto aquí impugnado una justificación explícita del cambio de criterio producido entre los casos que ahora trae a colación la parte recurrente en amparo y el Auto del que ahora se trata, lo cual parece en todo caso inexcusable.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Fiscal que, sentado lo anterior, carece de dificultad apreciar en el presente caso la existencia de todos y cada uno de los requisitos establecidos por la antes mencionada doctrina de ese Tribunal Constitucional para que pueda entenderse vulnerado el derecho a la igualdad en la aplicación judicial de la ley (art. 14 CE), pues (i) la parte demandante de amparo ha acreditado el tertium comparationis exigido al haber señalado en su demanda los autos de la Sección Primera de la Sala de lo Contencioso-Administrativo del Tribunal Supremo recaídos en casos análogos al que es objeto del presente recurso de amparo, pero con resolución diferente de la recaída en su caso concreto; (ii) existe la identidad de órgano judicial, habida cuenta de que tanto el Auto impugnado como los Autos de contraste han sido dictados por la Sección Primera de la Sala de lo Contencioso-Administrativo del Tribunal Supremo; (iii) existe alteridad en los supuestos contrastados, pues ninguno de los casos cotejados se refieren a la demandante; y (iv) es de apreciar la ausencia de toda motivación que justifique en términos generalizables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termina solicitando que se dicte sentencia por la que se declare que el Auto dictado por la Sección Primera de la Sala de lo Contencioso-Administrativo del Tribunal Supremo en el recurso de casación núm. 1179-2011 con fecha 10 de noviembre de 2011 vulneró el derecho de la sociedad demandante a la igualdad en la aplicación de la ley (art. 14 CE), con la consecuencia necesaria de la anulación de dicha resolución, así como del Auto de fecha 22 de marzo 2012, por el que se desestimó el incidente de nulidad de actuaciones entablado contra aquel Auto, para que sea dictada, en su lugar, otra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de fecha 4 de noviembre de 2014, el Magistrado de este Tribunal don Ricardo Enríquez Sancho solicitó se le tuviera por abstenido en el presente recurso, dada la concurrencia de la causa de abstención prevista en el art. 219.11 LOPJ, de aplicación supletoria conforme a lo establecido en el art. 80 LOTC, habida cuenta de que, a la sazón, formó parte de la Sección Primera de la Sala Tercera del Tribunal Supremo, órgano este que dictó el Auto de inadmisión de 10 de noviembre de 2011, del que trae causa el presente recurso de amparo. Por Auto de fecha 6 de noviembre de 2014, la Sala Segunda de este Tribunal resolvió estimar justificada la causa de abstención invocada, apartando definitivamente del conocimiento del presente recurso y de todas sus incidencias al referido Magistrado.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26 de febrero de 2015 se señaló para deliberación y fallo de la Sentencia el día 2 de marzo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invocaciones constitucionales en que se fundamenta este recurso ya han sido objeto de análisis por el Pleno de este Tribunal en la STC 7/2015, de 22 de enero. Por tanto, con remisión a lo expuesto en esa Sentencia, debe desestimarse la lesión aducida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 descartarse la lesión aducida del derecho a la igualdad en la aplicación de la ley. En el fundamento jurídico 4 de la Sentencia citada ya se puso de manifiesto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ad casum o ad personam (para un caso o para una persona) y razona explícitamente la alteración doctrinal, que se justifica a partir de la finalidad que debe cumplir 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debe estimarse la vulneración del derecho a la tutela judicial efectiva (art. 24.1 CE) fundamentada en que, contrariamente al parámetro de racionalidad, la decisión de inadmisión impugnada no tomó en consideración que la falta de cumplimiento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(fundamento jurídico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 entidad France Telecom S.A.U.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10 de noviembre de 2011 y del Auto de 22 de marzo de 2012, dictados en el recurso de casación núm. 1179-2011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marzo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