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5280-2012, promovido por la entidad “ARIGO 98, S.L.”, representada por el Procurador de los Tribunales don Jorge Laguna Alonso y defendida por el Letrado don José María Fernández-Arámburu Hepburn, contra el Auto de la Sección Primera de la Sala de lo Contencioso-Administrativo del Tribunal Supremo, de 22 de diciembre de 2011, por el que se inadmite el recurso de casación núm. 4352/2010, deducido contra la sentencia de la Sala de lo Contencioso-Administrativo de la Audiencia Nacional de 27 de mayo de 2010, así como contra el Auto de la misma Sala y Sección, de 7 de junio de 2012, por el que se desestima el incidente de nulidad promovido contra aquel Auto. Ha intervenido el Abogado del Estado, así como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septiembre de 2012, el Procurador de los Tribunales don Jorge Laguna Alonso, en nombre y representación de la entidad Arigo 98, S.L., formuló demanda de amparo contra las resoluciones judiciales reseñadas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Segunda de la Sala de lo Contencioso-Administrativo de la Audiencia Nacional, dictó Sentencia de 27 de mayo de 2010 en el procedimiento ordinario núm. 100-2007, por la que estimó parcialmente el recurso deducido por la demandante de amparo contra la resolución del Tribunal Económico-Administrativo Central de 21 de diciembre de 2006, en relación con acuerdos de liquidación y sanción dictados respecto del impuesto de sociedades, ejercicios 1998, 1999 y 2000. En dicha Sentencia se declaró la anulación de la sanción impuesta y se confirmó la resolución recurrida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anterior Sentencia prepararon recurso de casación tanto el Abogado del Estado como la entidad demandante de amparo, que lo hizo mediante escrito registrado en la Audiencia Nacional el 15 de junio de 2010. En él, la ahora demandante puso de manifiesto la intención de interponer recurso de casación, la legitimación de la parte recurrente, el carácter recurrible de la resolución impugnada y el cumplimiento del plazo para la presentación del escrito; a ello añadió la precisión de que el recurso iba a fundarse en el motivo previsto en el art. 88.1 d) de la Ley reguladora de la jurisdicción contencioso-administrativa (LJCA). El recurso fue tenido por preparado por diligencia de ordenación de la Sala de lo Contencioso-Administrativo de la Audiencia Nacional de 21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en el Registro General del Tribunal Supremo el día 2 de septiembre de 2010, la demandante de amparo se personó y formalizó el escrito de interposición del recurso de casación. Por su parte, mediante escrito registrado el 16 de noviembre de 2010, el Abogado del Estado manifestó no sostener el recurso de casación preparado por la representación del Estado. Tras cumplirse por la entidad Arigo 98, S.L., el requerimiento de presentar la liquidación de la tasa por el ejercicio de la potestad jurisdiccional, mediante Decreto de 19 de noviembre de 2010 se declaró desierto el recurso de casación preparado por el Abogado del Estado, continuándose el procedimiento respecto del recurso de casación interpuesto por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la Sala Tercera del Tribunal Supremo de 25 de enero de 2011 se acordó poner de manifiesto para alegaciones la posible causa de inadmisión del recurso motivada por razón de su cuantía. Dando cumplimiento a este trámite, tanto el Abogado del Estado como la entidad Arigo 98, S.L., presentaron su respectivo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nueva providencia de 5 de abril de 2011, el órgano judicial señaló que, sin perjuicio de lo indicado en la anterior providencia de 25 de enero de 2011, acordaba poner de manifiesto a las partes, para alegaciones por plazo común de diez días, la posible causa de inadmisión del recurso consistente en “no haber citado en el escrito de preparación del recurso de casación las infracciones normativas o jurisprudenciales que la recurrente desarrollará en el escrito de interposición [arts. 88.1, 89.1 y 93.2 a) LRJCA]”. Por parte de la entidad Arigo 98, S.L., se cumplió el trámite conferido, interesando la admisión del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Seguidamente, el Tribunal Supremo dictó el Auto de 22 de diciembre de 2011 frente al que se demanda amparo, por el que inadmitió el recurso de casación deducido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reitera la doctrina recogida en resoluciones de la Sala (Autos de 14 de octubre de 2010, de 18 y 25 de noviembre de 2010, y de 2 de diciembre de 2010), transcribiendo varios de sus fundamentos. Asimismo, y entre otras consideraciones, añade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artículo 89.1 LJCA establece que el escrito de preparación debe contener una sucinta exposición de los requisitos de forma exigidos, se está refiriendo a los requisitos expresados en los artículos anteriores, y entre ellos figura de forma primordial la tajante regla procesal del artículo 88.1, que exige que el recurso se funde, exclusivamente, en alguno o algunos de los cuatro motivos que ahí se perfilan; de manera que es carga del recurrente en casación indicar ya en la fase de preparación el concreto o concretos motivos en que se fundará el recurso y no en cualesquiera otras razones no contempladas en la Ley Jurisdiccional,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 Si así no se exigiera, es decir, si se estimara innecesario anticipar el motivo o motivos al que se acogerá el escrito de interposición en los términos expresados, el trámite de preparación quedaría privado de su sentido y finalidad característicos, desde el momento que el Tribunal a quo quedaría desprovisto de elementos de juicio para verificar que el recurso de casación cumple el más primario requisito de procedibilidad, cual es que se funda formalmente en uno de esos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artículo 88.1 que se utilice.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 el escrito de preparación no especifica en modo alguno los motivos a los que se acogerá la interposición con las exigencias expresadas, el recurso será inadmisible por aplicación del artículo 93.2 a) en relación con los artículos 88.1 y 89.1, todos ellos de la Ley Jurisdiccional, por haber sido defectuosamente preparado.”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y tras indicar que la entidad recurrente se había limitado a anunciar en el escrito de preparación del recurso de casación que éste se ampararía en el motivo del art. 88.1 d) LJCA, sin hacer mención alguna a las concretas infracciones normativas o jurisprudenciales que se pretendían denunciar y desarrollar en el escrito de interposición, el Auto concluye que procedía la inadmisión del citado recurso de casación, lo que hacía innecesario analizar la causa de inadmisión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escrito registrado el 22 de febrero de 2012, la demandante de amparo dedujo incidente de nulidad de actuaciones, en el que argumentó que la inadmisión del recurso de casación provocaba la vulneración de 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alegó la lesión del derecho a la igualdad (art. 14 CE). En tal sentido señaló que el Auto de inadmisión había aplicado un nuevo criterio respecto a los requisitos formales del escrito de preparación del recurso de casación que traía origen del Auto de 14 octubre de 2010, de modo que, en el caso, el escrito de preparación se había presentado varios meses antes de ese cambio de criterio. En concreto, puso de manifiesto que, en un supuesto análogo en que también el escrito de preparación se había presentado antes del cambio de criterio con la sola invocación del motivo del art. 88.1 d) LJCA, pero siendo entonces recurrente la Administración general del Estado, la Sentencia de la Sección Segunda del Tribunal Supremo de 23 de enero de 2012 (recurso de casación núm. 6381-2008) había desestimado que dicho escrito de preparación hubiera sido indebidamente formulado por no contener indicación de las normas y la jurisprudencia que se consideraban infringidas. En consecuencia, tras señalar que no es posible la aplicación de un parámetro diferente cuando el escrito de preparación se formula por la Administración y cuando se presenta por el resto de recurrentes, concluyó que, en el caso, se produce una quiebra del principio de igualdad, debiendo entenderse que el nuevo criterio tampoco es de aplicación por razones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adujo la vulneración del derecho a la tutela judicial efectiva (art. 24.1 CE), en su vertiente de acceso a los recursos legalmente establecidos. A tal efecto, respecto al declarado defecto formal por no hacer constar en el escrito de preparación las normas o jurisprudencia que se consideran infringidas, puso de relieve que los requisitos de ese escrito a que alude el art. 89.1 LJCA no están explícitamente consignados en el precepto, por lo que se trata de una exigencia que carece de suficiente cobertura legal, incurriéndose en un exceso interpretativo innecesariamente formalista que conculca el principio de proporcionalidad y resulta lesivo del derecho de acceso al recurso, causando una manifiesta indefensión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7 de junio de 2012, frente al que también se demanda amparo, se acordó desestimar el incidente de nulidad promovido por la demandante. Entre otras consideraciones, el Auto fundamentó su respuesta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ahora insistir que la doctrina relativa a las exigencias predicables del escrito de preparación del recurso de casación, en lo que atañe a la cita de las infracciones normativas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doctrina reiterada por esta Sala desde el Auto de 10 de febrero de 2011 (recurso 2927-2010) incorpora nuevas exigencias al escrito de preparación del recurso de casación, respecto de las comprendidas en los criterios expuestos sistemáticamente en precedentes de la Sala, tal y como se ha declarado en los razonamientos del Auto cuya nulidad se insta, culminando así la evolución jurisprudencial que ya apuntaba el Auto de esta Sala de 14 de octubre de 2010 —recurso núm. 951-2010—. A este respecto, ha de ponerse de manifiesto que es reiterada la doctrina constitucional que admite sin reservas el cambio de criterio jurisprudencial, siempre que éste no sea arbitrario y esté motivado, sin que quepa pretender de la jurisprudencia un carácter monolítico y estático, puesto que su valor reside precisamente en su dinámica adaptativa y motivada a las nuevas realidades en que se desenvuelven las relaciones jurídicas, teniendo en cuenta la libertad de apreciación de todo órgano jurisdiccional en el ejercicio de su función juzgadora (de conformidad con el artículo 117.3 de la Constitución Española ) y la consecuencia de una diferente concepción jurídica igualmente razonable y fundada en Derecho de los supuestos sometidos a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viene entendiendo (entre otras, STC 76/2005, de 4 de abril, recurso de amparo número 2182-2002) que los cambios jurisprudenciales han de ser conscientes y justificados, con vocación de generalidad suficiente como para impedir su calificación como irreflexivo, arbitrario, ocasional e inesperado, de modo que, cumpliéndose esos requisitos, no podría estimarse vulnerado el principio de igualdad en su vertiente de aplicación judicial de la Ley. Efectivamente, el Alto Tribunal considera que los cambios de criterio jurisprudenciales son legítimos cuando son razonados y razonables (STC 29/2005, de 14 de febrero, recurso de amparo número 6002-2002). En definitiva,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(por todas, STC 176/2000, de 26 de junio, recurso de amparo número 6604-1997). De este modo, los cambios de criterio jurisprudenciales no erosionan los principios constitucionales de igualdad ni de seguridad jurídica. En los mismos términos se ha pronunciado esta Sala Tercera del Tribunal Supremo en numerosas sentencias, por todas ellas, STS de 5 de julio de 2002, recurso de casación número 5552-1997 y STS de 22 de diciembre de 2003, recurso de casación número 5455-1998.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 Sala habrá de aplicar el nuevo criterio jurisprudencial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jurisprudencial a aquellos escritos de interposición de recursos que fueran presentados debidamente ante los Tribunales de Justicia a partir del momento del ‘anuncio’ del cambio de criterio, ‘anuncio’ a que no están obligados los órganos jurisdiccionales, tal y como tiene asentada la doctrina constitucional referida. Asimismo, hay que tener en cuenta que una resolución judicial que incorpora un cambio de criterio jurisprudencial y cuya eficacia fuese meramente prospectiva sería un mero obiter dictum, amén de que se frustraría la finalidad del proceso porque la resolución no afectaría a las partes. El único límite temporal a que se limitan los cambios de criterio jurisprudenciales, de conformidad con la doctrina del Tribunal Constitucional, es a las situaciones jurídicas que gozan de la protección de la cosa juzgada, como no podía ser menos como garantía de salvaguardia de la tutela judicial efectiva proclamada en el artículo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doctrina expuesta no es contraria a los principios constitucionales que deben regir el proceso y, en concreto, con el artículo 24.1 CE , pues conviene recordar que, según el Tribunal Constitucional, el derecho a la tutela judicial efectiva es ‘un derecho prestacional de configuración legal’ cuyo ejercicio y prestación ‘están supeditados a la concurrencia de los presupuestos y requisitos que en cada caso, haya establecido el legislador’, de tal modo que ese derecho ‘también se satisface con la obtención de una resolución de inadmisión, que impide entrar en el fondo de la cuestión planteada, si esta decisión se funda en la existencia de una causa legal que así lo justifique’ (Sentencia 26/2003, de 10 de febrero , y las que en ella se citan), siendo esto último lo que aquí ocurre, debiendo tenerse presente, además, que resulta doctrina reiterada de esta Sala la de que no se quebranta dicho derecho porque un proceso contencioso-administrativo quede resuelto en única instancia (por todos, AATS de 10 de enero de 2008 —recurso de casación 4884-2006— y de 14 de julio de 2011 —recurso de queja 26-2011—).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alegación relativa a la vulneración del derecho a la igualdad dado que, en el recurso de casación número 6381-2008, la Sección Segunda de esta Sala dictó Sentencia el 23 de enero de 2012 en la que no tuvo acogida la causa de oposición del recurrido consistente en que el recurso había sido indebidamente formalizado por no contener el escrito de preparación indicación alguna de las normas o de la jurisprudencia que se considera infringida, señalar que, como transcribe el propio recurrente en su escrito planteando el incidente de nulidad, la mencionada Sentencia da respuesta a la referida alegación argumentando, al efecto, lo siguiente: ‘Sin embargo, esa misma Sección de admisión estimó suficiente, en la época en la que el presente recurso fue admitido a trámite, la argumentación ofrecida por escritos idénticos al que ahora se cuestiona, presentados también por el abogado del Estado para preparar recursos de casación contra sentencias de la Audiencia Nacional [véanse, por todos, los autos de 28 de mayo de 2009 (casación 906-2009, FJ 2), 18 de junio de 2009 (casación 4389-2009, FJ 3) y 21 de enero de 2010 (casación 2355-2009, FJ 2)]. No puede prosperar, por ello, esta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resolución del presente recurso de amparo ha de tenerse igualmente presente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89.1 LJCA dispone que en el escrito de preparación del recurso de casación deberá manifestarse “la intención de interponer el recurso, con sucinta exposición de la concurrencia de los requisitos de forma exigidos”. El art. 89.2 LJCA dispone que “en el supuesto previsto en el artículo 86.4 [sentencias dictadas por las salas de lo contencioso-administrativo de los Tribunales Superiores de Justicia, contra las que solo cabe recurso si este puede fundarse en infracción de normas de Derecho estatal o comunitario europeo], habrá de justificase que la infracción de una norma estatal o comunitaria europea ha sido relevante y determinante del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Inicialmente el Tribunal Supremo circunscribió los requisitos de forma que deben expresarse en el escrito de preparación a la necesidad de hacer constar el carácter susceptible de recurso de la resolución impugnada, la legitimación de la parte recurrente, el cumplimiento del plazo legalmente fijado para presentar el escrito de preparación, y la intención de interponer el recurso de casación. En el caso de resoluciones procedentes de los Tribunales Superiores de Justicia, por disponerlo así el art. 89.2, en relación con el art. 86.4 LJCA, se entendía exigible también la anticipación o anuncio en el escrito de preparación de los motivos que iban a desarrollarse en la interposición y la expresión de las concretas infracciones denunciadas de la ley y de la jurisprudencia aplicables, con la finalidad de determinar si se trataba de normas estatales o de Derecho europeo relevantes para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adelante, algunas resoluciones del Tribunal Supremo (AATS de 3 de diciembre de 2009, recurso de casación 577-2009; 4 de marzo de 2010, recurso de casación 4416-2009, y 6 de mayo de 2010, recurso de casación 6228-2009) comenzaron a entender exigible con carácter general en los escritos de preparación del recurso de casación la expresión de los motivos de casación que iban a desarrollarse en el escrito de interposición. Tal exigencia no era general, pues, como declaran los AATS de 14 de octubre de 2010, recursos de casación 951-2010 y 573-2010; 18 de noviembre de 2010, recurso de casación 3461-2010; 25 de noviembre de 2010, recursos de casación 1886-2010 y 2738-2010, y 2 de diciembre de 2010, recursos de casación 3852-2010 y 5030-2010, “debe reconocerse que en ocasiones tal exigencia se ha predicado tan solo respeto de los recursos de casación preparados frente a sentencias de las Salas de lo Contencioso-Administrativo de los Tribunales Superiores de Justicia, excluyéndose expresamente esta exigencia respecto de las Sentencias de lo Contencioso-administrativo de la Audiencia Nacional (en este sentido, Autos de esta Sala y Sección de 23 abril 2009, recurso de casación 3146-2008, 9 julio de 2009, recurso de casación 5647-2008, y 6 abril 2010, recurso de casación 1368-2009,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los AATS 951/2010 y 573/2010, de 14 de octubre de 2010, y 3461/2010, de 18 de noviembre de 2010, al objeto de “clarificar” la jurisprudencia, la Sección Primera de la Sala de lo Contencioso-Administrativo del Tribunal Supremo precisó que la exigencia de “anticipar” en el escrito de preparación los motivos de casación era aplicable también a las Sentencias y Autos dictados por la Audiencia Nacional, como extensión de las exigencias de forma impuestas para el escrito de preparación del recurso de casación por el art. 89.1 LJCA. Según estos Autos, en el escrito de preparación “es carga del recurrente en casación indicar ya en la fase de preparación el concreto o los concretos motivos en que se fundará el recurso”, con referencia a los “cuatro motivos que ahí se perfilan [se refiere al art. 88.1 LJCA]” (ATS 3461/2010, de 18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ATS de 10 de febrero de 2011 (recurso de casación 2927-2010), también de la Sección Primera de la Sala de lo Contencioso-Administrativo, a la que corresponde por reparto decidir sobre la admisibilidad de los recursos de casación, dictado asimismo con la finalidad de “clarificar” la doctrina jurisprudencial, especificó que el escrito de preparación, con carácter general, debe contener no solo la invocación de los motivos, sino también la indicación de “los concretos preceptos o jurisprudencia que se reputan infringidos o del contenido de las infracciones normativas o jurisprudenciales que se pretenda denunciar y desarrollar en el escrito de interposición del recurso de casación, aunque fuera de forma sucinta”, añadiendo que tal exigencia “existe tanto cuando la resolución impugnada procede de los Tribunales Superiores de Justicia como de la Audiencia Nacional y cualquiera que sea el motivo del artículo 88.1 que se utilice”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Auto expone las razones por las cuales se introdujo esta especificación. En concreto señala que si así no se exigiera, el trámite de preparación quedaría privado de su sentido y finalidad, dado que “el tribunal a quo quedaría desprovisto de elementos de juicio para verificar que el recurso de casación cumple el más primario requisito de procedibilidad, cuando este se funda formalmente en uno de sus cuatro motivos, con indicación de las infracciones normativas o jurisprudenciales denunciadas, y no en otro tipo de consideraciones ajenas al sistema de la Ley procesal, y la parte recurrida carecería de la información necesaria al respecto para adoptar la posición procesal que estimara pertinente”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apoyo en la argumentación que a continuación se expone de manera sintetizada, la recurrente reprocha a los Autos frente a los que se demanda amparo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alega lesión del derecho a la tutela judicial efectiva (art. 24.1 CE), en su vertiente de acceso a los recursos. Al respecto aduce que la interpretación y aplicación de la Ley procesal denunciada consiste en sobredimensionar el requisito procesal relativo a la mención en el escrito de preparación de la normativa o jurisprudencia infringida por la Sentencia, dándole una trascendencia desorbitada y sin referencia a la finalidad que lo inspira, lo que determina que esa interpretación y aplicación de los requisitos de admisibilidad del recurso de casación resulte contraria al principio de proporcionalidad y, por tanto, lesiva del derecho de acceso al recurso, estableciendo un criterio diferente que se aplica retroactivamente —con vulneración del principio de seguridad jurídica— y sin carácter de uniformidad —no se mantiene por el Tribunal Supremo una jurisprudencia homogénea tras el cambio de criterio de admisión operado, conviviendo autos y sentencias coetáneos o posteriores a los recurridos en que, en supuestos procesales idénticos, se alcanza la solución contraria de admitir el recurso—. Señala asimismo que resulta un hecho no controvertido que la Ley jurisdiccional no contiene un precepto que establezca que cuando el recurso se vaya a basar en el motivo previsto en el art. 88.1 d) haya de citarse la normativa o jurisprudencia que se considere infringida, sin que tampoco el art. 89.1 aluda a requisitos de fondo o motivos en que se fundará el recurso. Por ello, considera, la obligación de citar en el escrito de preparación del recurso de casación las concretas infracciones normativas o jurisprudenciales que se reputan infringidas se configura como un nuevo criterio —no exigido por la jurisprudencia previa—, que carece de un claro sustento normativo —sin obedecer a modificación legal alguna— y que supone la aplicación retroactiva de unos requisitos que limitan considerablemente el derecho a la tutela judicial efectiva, lo que causa una evidente indefensión, debiendo además tenerse en cuenta que ese nuevo criterio no se ha dado a conocer suficientemente, puesto que se ha ido perfilando mediante Autos y no Sentencias. Resalta, en tal sentido, que en la fecha en que se dictó la Sentencia de la Audiencia Nacional contra la que se prepara el recurso de casación (27 de mayo de 2010) ni siquiera existía un nuevo criterio jurisprudencial, porque el primer Auto emitido por la Sección Primera con ese nuevo criterio fue de 14 de octubre de 2010, por lo que cuando se presentó el escrito de preparación del recurso resultaba aplicable la jurisprudencia habida con el criterio tradicional. Además añade que, en el caso concreto, la automática y seriada aplicación de la doctrina del Tribunal Supremo, mimetizada con supuestos muy heterogéneos, no ha ponderado esta circunstancia, agravando la lesión padecida.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esta denuncia recuerda la doctrina constitucional en la que se declara que el principio pro actione implica la interdicción de las decisiones de inadmisión que por su rigorismo, formalismo excesivo o cualquier otra razón revelen una clara desproporción entre los fines que aquellas causas de inadmisión preservan y los intereses que sacrifican (STC 133/2005, FJ 2); asimismo alude a pronunciamientos en que el Tribunal Constitucional ha reiterado que a él le compete revisar en el caso si se ha producido violación del derecho a la tutela judicial efectiva, en su faceta de acceso a la jurisdicción, frente a un acto del poder público, como consecuencia de una interpretación que carezca de base legal, sea irrazonable o resulte manifiestamente desproporcionada con la finalidad para la que se establece (SSTC 76/1996, FJ 4; 152/1996, FJ 2). También hace referencia a algunos pronunciamientos del Tribunal Europeo de Derechos Humanos: así, la STEDH de 30 de julio de 2009 (caso Dattel contra Luxemburgo), en la que se considera violado el art. 6.1 del Convenio a consecuencia de una interpretación rigorista y desproporcionada de la inadmisión de la casación fundada en la falta de precisión en la formulación del motivo de la casación; la STEDH de 19 de diciembre de 1997 (caso Brualla Gómez de la Torre contra España), que declara que los requisitos de acceso al recurso deben responder a una finalidad legítima y proporcionada; o la STEDH de 28 de octubre de 1998 (caso Pérez de Rada Cavanilles contra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lado, aduce vulneración del derecho a la igualdad en la aplicación de la ley (art. 14 CE), en la medida en que, respecto a la exigencia del referido cambio de criterio, no ha existido uniformidad entre las distintas secciones de la Sala Tercera del Tribunal Supremo, puesto que existen secciones que no han opuesto objeción a escritos de preparación que se formularon con los requisitos tradicionalmente aceptados, remarcando así que dicho cambio resulta arbitrario, ocasional e inesperado. Como prueba de esta afirmación hace referencia a la Sentencia de 23 de enero de 2012, dictada por la Sección Segunda del Tribunal Supremo en el recurso de casación núm. 6381-2008, de la que transcribe un extracto de su fundamento de derecho segundo. Respecto a dicha Sentencia subraya que, siendo de fecha posterior al Auto de inadmisión recurrido en este proceso, en ella se rechaza que el nuevo criterio de admisión pueda o deba ser aplicado con carácter retroactivo, declarando su no aplicación a aquellos recursos de casación en los que al tiempo de prepararse el recurso no se hubiera operado el cambio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septiembre de 2013, la Sala Primera del Tribunal Constitucional acordó admitir a trámite la demanda de amparo. Asimismo, en aplicación de lo dispuesto en el artículo 51 de la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número 4352-2010 y al recurso número 100-2007, respectivamente, debiendo previamente emplazarse, para que pudieran comparecer en el recurso de amparo en el término de diez días, a quienes hubieran sido parte en el procedimiento, excepto a la parte recurrente en amparo. Tras ser emplazado para comparecer en este proceso constitucional, el Abogado del Estado, mediante escrito registrado ante este Tribunal el 24 de octubre de 2013, solicitó se le tuviera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28 de octubre de 2013 se tuvieron por recibidos los testimonios de las actuaciones remitidos por el Tribunal Supremo y la Audiencia Nacional, así como el escrito del Abogado del Estado a quien se tuvo por personado y parte en nombre y representación de la Administración. Asimismo, a tenor de lo dispuesto en el art. 52 LOTC, se dio vista de todas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alegaciones mediante escrito registrado el 26 de noviembre de 2013, en el que solicita que se “dicte sentencia con arreglo a derecho”. Tras recordar la doctrina constitucional sobre la inadmisión del recurso de casación contencioso-administrativo por defectos insubsanables del escrito de preparación, analiza el art. 89.1 LJCA y, en especial, el contenido de la expresión “los requisitos de forma exigidos” y concluye que la aplicación retrospectiva de las nuevas máximas jurisprudenciales contenidas en el ATS de la Sección Primera de la Sala Tercera de 10 de febrero de 2011, inexistentes cuando se presentó el escrito de preparación del recurso de casación y que determinan su inadmisión por no haberse preparado conforme a ellas, supone frustrar sorpresivamente la razonable expectativa o confianza legítima sobre la admisión de un recurso de casación preparado de acuerdo con los requisitos de forma exigidos por la jurisprudencia en el momento de presentar el escrito de preparación, sin dar oportunidad procesal ninguna de ajustar dicho escrito a las nuevas exigencias. Considera por ello que la cuestión radica en la “irrazonabilidad” de exigir, para la realización de un acto procesal agotado, el cumplimiento de unos requisitos de forma que razonablemente no se conocían en el momento en que se efectuó dicho acto procesal, provocando así una violación del derecho de acceso al recurso. En conclusión, interesa que se dicte Sentencia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27 de noviembre de 2013, en el que interesa que se desestime por completo el recurso de amparo, en atención a la argumentación que, en síntesis,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el recurso de amparo únicamente denuncia la vulneración del derecho a la tutela judicial efectiva en su modalidad de derecho de acceso al recurso (art. 24.1 CE), el Fiscal realiza un repaso de la evolución de la doctrina del Tribunal Supremo en relación con los requisitos que debe reunir el escrito de preparación del recurso de casación contencioso-administrativo. Fija como uno de los hitos de esta evolución el ATS 14419/2010, de 14 de octubre, a cuyos requerimientos se ajustó el demandante de amparo al preparar su recurso de casación el 15 de junio de 2010. No obstante, señala, el posterior ATS 2371/2011, de 10 de febrero, añadió la exigencia de que en el escrito de preparación, además de especificar el concreto o concretos motivos en que se fundará el recurso, había de hacerse indicación de los concretos preceptos o jurisprudencia que se reputan infringidos o del contenido de las infracciones normativas o jurisprudenciales que se pretendan denunciar y desarrollar en el escrito de interposición del recurso de casación, aunque sea en forma sucinta, siendo ese nuevo criterio el que fue aplicado en el caso ahora controvertido. Con relación a esta actuación, el Fiscal recoge la doctrina del Tribunal Constitucional sobre el derecho de acceso a los recursos, destacando, entre otros aspectos, que el control constitucional respecto a las resoluciones judiciales dictadas sobre los presupuestos o requisitos de admisión de los recursos debe limitarse a comprobar si tienen motivación, si han incurrido en error material patente, en arbitrariedad o en manifiesta irrazonabilidad, únicas circunstancias que pueden determinar la lesión del derecho a la tutela judicial efectiva. Pues bien, en el caso enjuiciado considera el Fiscal que el Auto de inadmisión impugnado constituye una resolución que cuenta con la debida motivación, no estando ésta incursa ni en error patente, ni en irrazonabilidad, ni en arbitrariedad. Antes al contrario, entiende que la exigencia de especificar en la fase de preparación del recurso de casación los concretos preceptos o jurisprudencia que se reputan infringidos o el contenido de las infracciones normativas o jurisprudenciales que se pretenden desarrollar en el escrito de interposición del recurso fluye del propio tenor de los apartados c) y d) del art. 88.1 LJCA, de ahí que, tras aludir al contenido de los dos motivos de casación incluidos en estas previsiones, señala que de ninguna manera puede afirmarse que la indicada exigencia constituye un requisito no establecido por la ley. Tales razonamientos son, en definitiva, los que conducen al Fiscal a declarar la inexistencia de infracción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También mediante escrito registrado el 27 de noviembre de 2013, la representación procesal de la demandante se ratificó íntegramente en los hechos, fundamentos jurídicos y suplico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febrero de 2015 se señaló para deliberación y votación de la presente Sentencia el día 2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22 de diciembre de 2011, que acordó no admitir a trámite el recurso de casación interpuesto contra la Sentencia de la Sala de lo Contencioso-Administrativo de la Audiencia Nacional de 27 de mayo de 2010, recaída en el procedimiento ordinario núm. 100-2007. También impugna el Auto de la misma Sala y Sección, de 7 de junio de 2012, por el que se desestima el incidente de nulidad promovido contra el Auto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Sentencia, imputa a las resoluciones recurridas la lesión de dos derechos fundamentales. De un lado, aduce la vulneración de su derecho a la tutela judicial efectiva (art. 24.1 CE), en su vertiente de acceso a los recursos, con apoyo en distintas consideraciones que pueden reconducirse y sistematizarse en los siguientes reproches: i) porque los Autos impugnados se fundan en un requisito de admisibilidad que carece de un claro sustento normativo, resultando desproporcionada su aplicación y la interpretación realizada; (ii) porque la exigencia de anticipar en el escrito de preparación del recurso de casación los concretos preceptos o la jurisprudencia que se reputan infringidos se ha aplicado con carácter retroactivo, en un momento en que aquella exigencia no era conocida ni requerida en la jurisprudencia precedente, con vulneración del principio de seguridad jurídica. De otro lado, la demandante alega la vulneración de su derecho a la igualdad en la aplicación de la ley (art. 14 CE), pues entiende que no ha existido uniformidad entre las distintas secciones de la Sala Tercera del Tribunal Supremo respecto a la exigencia del cambio interpretativo.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a la vista de las alegaciones de la recurrente, hemos de señalar que, como ya se dijera en la citada STC 7/2015, FJ 3, “el enjuiciamiento versa sobre un supuesto de acceso al recurso y no de acceso a la jurisdicción, distinción que resulta relevante en el plano de la jurisprudencia constitucional a los efectos de la no aplicación del canon de proporcionalidad en la exigencia de los requisitos legales para el derecho al recurso”, pues, en efecto, conforme este Tribunal ha reiterado, la interpretación y la aplicación de las normas procesales que contemplan los requisitos para la admisión de los recursos son materias de legalidad ordinaria, propias de los Tribunales de Justicia (art. 117.3 CE), “sin que el control que nos corresponde realizar … pueda extenderse al juicio de proporcionalidad inherente al principio pro actione, característico del derecho de acceso a la jurisdicción” (STC 55/2008, de 14 de abril, FJ 2; o SSTC 33/2008, de 25 de febrero, FFJJ 2 y 4, y 132/2011, de 18 de julio, FJ 3). Esto aclarado, 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diciembre 1997, caso Brualla Gómez de la Torre c. España, y de 25 enero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mayo 2000; Llopis Ruiz c. España, de 7 noviembre 2003, e Ipamark c. España,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los Autos que son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los Autos impugnados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criterio plasmado en los Autos impugnados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su excepcionamiento por disposición legal que establezca el efecto exclusivamente prospectivo de la Sentencia, como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por lo que se refiere al derecho a la igualdad en la aplicación de la ley (art. 14 CE), la demandante alega la falta de uniformidad habida entre las distintas secciones de la Sala Tercera del Tribunal Supremo respecto al cambio de criterio relativo a que el escrito de preparación del recurso de casación contenga la cita, siquiera sucinta, de las normas y jurisprudencia que se estimen infringidas. De manera específica, en favor de su alegación, la recurrente hace referencia a la Sentencia de 23 de enero de 2012, dictada por la Sala Tercera del Tribunal Supremo, en su Sección Segunda, en el recurso de casación núm. 6381-2008, indicando que esta resolución rechaza que el nuevo criterio de admisión se aplique con carácter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esta queja baste recordar que, conforme a reiterada jurisprudencia constitucional (por todas, STC 205/2013, de 5 de diciembre, FJ 3), para que pueda entenderse conculcado el derecho a la igualdad en la aplicación de la ley es necesaria la aportación de un término de comparación válido que, entre otras exigencias, requiere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(entre otras, STC 164/2005, de 20 de junio, FJ 8; o SSTC 102/2000, de 10 de abril, FJ 2; 64/2010, de 18 de octubre, FJ 2, y 108/2013, de 6 de mayo, FJ 4). En concreto, respecto a las específicas resoluciones comparadas, es obvio que no puede apreciarse tal identidad pues, aun cuando todas ellas tienen origen en la Sala de lo Contencioso-Administrativo del Tribunal Supremo, lo cierto es que el objeto del presente recurso viene referido a Autos de su Sección Primera, y en cambio, la decisión de contraste es una Sentencia de su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aun cuando otro fuera el caso —y al margen de otros requisitos también necesarios para la idoneidad del tertium comparationis aducido—, interesa destacar que, según este Tribunal ha reiterado,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ad personam o de ruptura ocasional en una línea que se venga manteniendo con normal uniformidad antes de la decisión divergente o se continúe con posterioridad (por todas, SSTC 105/2009, de 4 de mayo, FJ 4; y 178/2014, de 3 de noviembre, FJ 4). De acuerdo con ello, los Autos del Tribunal Supremo impugnados —lejos de ser una decisión particularizada y adoptada ad hoc por el órgano judicial para resolver ese solo caso o para aplicarlo exclusivamente a la persona del recurrente— constituyen la plasmación de un criterio jurisprudencial previamente adoptado con carácter general y con vocación de permanencia para resolver todos los supuestos de las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entidad Arigo 98,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5280-2012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