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2605/2012, promovido por Promotora de Informaciones S.A., representada por el Procurador de los Tribunales don Argimiro Vázquez Guillén y defendida por el Letrado don Carlos Casanova Caballero, contra el Auto de la Sala Tercera del Tribunal Supremo, de 3 de noviembre de 2011, por el que se inadmite el recurso de casación núm. 1499/2011, deducido contra la Sentencia de la Sala de lo Contencioso-administrativo de la Audiencia Nacional, de 16 de febrero de 2011, así como contra el Auto de la misma Sala, de 15 de marzo de 2012, por la que se inadmite el incidente de nulidad deducido contra aquél Auto. Ha intervenido el Abogado del Estado, así como el Ministerio Fiscal.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4 de mayo de 2012, el Procurador don Argimiro Vázquez Guillén, formuló demanda contra las resoluciones judiciales reseñadas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Segunda de la Sala de lo Contencioso-Administrativo de la Audiencia Nacional, dictó Sentencia de 16 de febrero de 2011, por la que estimó parcialmente el recurso deducido por la demandante de amparo contra la resolución del Tribunal Económico-Administrativo Central de 31 de enero de 2008, en relación con el acuerdo de liquidación y sanción dictado respecto del impuesto de sociedades del ejercicio 2001, por el que se anulaba la sanción impuesta y se desestimaba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dicha resolución prepararon recurso de casación tanto el Abogado del Estado como la demandante de amparo, que lo hizo mediante escrito de fecha 28 de febrero de 2011. En él puso de manifiesto la intención de interponerlo, el cumplimiento del plazo para la presentación del escrito, el carácter recurrible de la resolución impugnada y la suficiencia de la cuantía para el acceso a la casación; a ello añadió la precisión de que el recurso iba a fundarse en los motivos previstos en los apartados c) y d) del art. 88.1 de la Ley reguladora de la jurisdicción contencioso-administrativa (LJCA). El recurso fue tenido por preparado por diligencia de ordenación de la Sala de lo Contencioso-Administrativo de la Audiencia Nacional de 4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en el Registro General del Tribunal Supremo el día 31 de marzo de 2011, la demandante de amparo se personó y formalizó el escrito de interposición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7 de junio de 2011, el órgano judicial acordó poner de manifiesto las actuaciones a las partes por término de diez días para que alegaran lo que estimaren procedente en relación con la posible concurrencia de la causa de inadmisión en los recursos de casación interpuestos consistente en “no haber hecho indicación en el escrito de preparación del recurso, de las concretas infracciones normativas o jurisprudenciales que se desarrollarán en el escrito de interposición [artículos 88.1, 89 y 93.2 a) de la LRJCA y Auto de la Sala de 10 de febrero de 2011, dictado en el recurso de casación 2927/2010]”. Tanto el Abogado del Estado como el demandante de amparo cumplieron el trámite conferido interesando la admisión del recurso de casación respectivamente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Seguidamente el Tribunal Supremo dictó el Auto de 3 de noviembre de 2011 frente al que se demanda amparo, por el que inadmitió el recurso de casación deducido por el demandante, así como el interpuesto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 remitió al ATS de 10 de febrero de 2011, del que transcribió varios de sus fundamentos, a la vista de los cuales concluyó, en lo que ahora interesa, que, no habiéndose citado en el escrito de preparación del recurso formalizado por la sociedad recurrente las infracciones normativas o jurisprudenciales que iban a desarrollarse en el escrito de interposición, pues se limitaba a anunciar que el recurso se fundamentaría en los motivos previstos en los apartados c) y d) del art. 88.1 de la Ley jurisdiccional, procedía la inadmisión del recurso de casación deducido por la demandante de amparo. También se inadmitía, por igual motivo, el interpuesto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enumeración que recoge el art. 89.1 LJCA, no agota las exigencias formales del escrito de preparación, pues tan sólo enuncia aquéllas que aparecen desconectadas de los concretos motivos de casación que sustentarán el indicado recurso. Recuerda —con cita de numerosas resoluciones— que el Tribunal Supremo viene exigiendo de forma reiterada la necesidad de anticipar en el escrito de preparación los concretos motivos en que se fundamentará el escrito de interposición. Afirma que es doctrina reiterada la que considera que la fase de preparación no es un mero formalismo sino un trámite que adquiere sustantividad propia, en cuanto ha sido establecido con la finalidad de permitir al mismo Tribunal que ha dictado la resolución judicial efectuar un primer juicio sobre la procedencia del recurso y constatar si se dan las condiciones previstas en la ley para darle trámite, con el propósito de proporcionar a la parte recurrida información acerca de los motivos en que se fundamentará el recurso de casación, a fin de adoptar —en consecuencia— la posición procesal que estime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en los AATS de 10 de febrero de 2011 y 12 de mayo de 2011, el Tribunal Supremo ha indicado que es carga del recurrente en casación indicar ya en la fase de preparación el concreto o concretos motivos en que se funda el recurso, con indicación de los concretos preceptos o jurisprudencia que se consideran infringidos o que se pretendan denunciar. Si así no lo hiciera, el trámite de preparación quedaría privado de su sentido y finalidad característicos. Dicha exigencia existe tanto cuando la resolución impugnada procede de los Tribunales Superiores de Justicia como de la Audiencia Nacional y cualquiera que sea el motivo del art. 88.1 que se utilice. Si el escrito de preparación no especifica en modo alguno los motivos a los que se acogerá la impugnación con las exigencias expresadas, el recurso será inadmisible por aplicación del art. 93.2 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remitirse a las consideraciones jurídicas vertidas en los AATS, de 14 de octubre de 2010 y de 10 de febrero de 2011, el Tribunal Supremo argumenta: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ha de ponerse de manifiesto que es reiterada la doctrina constitucional que admite sin reservas el cambio de criterio jurisprudencial, siempre que éste no sea arbitrario y esté motivado, sin que quepa pretender de la jurisprudencia un carácter monolítico y estático, puesto que su valor reside precisamente en su dinámica adaptativa y motivada a las nuevas realidades en que se desenvuelven las relaciones jurídicas, teniendo en cuenta la libertad de apreciación de todo órgano jurisdiccional en el ejercicio de su función juzgadora (de conformidad con el artículo 117.3 de la Constitución Española ) y la consecuencia de una diferente concepción jurídica igualmente razonable y fundada en Derecho de los supuestos sometidos a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viene entendiendo (entre otras, STC 76/2005, de 4 de abril, recurso de amparo nº 2.182/2002) que los cambios jurisprudenciales han de ser conscientes y justificados, con vocación de generalidad suficiente como para impedir su calificación como irreflexivo, arbitrario, ocasional e inesperado, de modo que, cumpliéndose esos requisitos, no podría estimarse vulnerado el principio de igualdad en su vertiente de aplicación judicial de la Ley. Efectivamente, el Alto Tribunal considera que los cambios de criterio jurisprudenciales son legítimos cuando son razonados y razonables (STC 29/2005, de 14 de febrero, recurso de amparo nº 6.002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(por todas, STC 176/2000, de 26 de junio, recurso de amparo nº 6.604 /1997). De este modo, los cambios de criterio jurisprudenciales no erosionan los principios constitucionales de igualdad ni de seguridad jurídica. En los mismos términos se ha pronunciado esta Sala Tercera del Tribunal Supremo en numerosas sentencias, por todas ellas STS de 5 de julio de 2002, recurso de casación nº 5.552/1997, y STS de 22 de diciembre de 2003, recurso de casación nº 5.455/1998.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esta Sala habrá de aplicar el nuevo criterio jurisprudencial a todo supuesto o situación jurídica que tenga ante sí para resolver, con independencia del momento temporal en que se interpuso el recurso. Es lo que el Tribunal Constitucional ha entendido como el “mínimo efecto retroactivo”. En caso contrario, quedaría petrificada la nueva interpretación jurisprudencial a aquellos escritos de interposición de recursos que fueran presentados debidamente ante los Tribunales de Justicia a partir del momento del "anuncio" del cambio de criterio, "anuncio" a que no están obligados los órganos jurisdiccionales, tal y como tiene asentada la doctrina constitucional referida. Asimismo, hay que tener en cuenta que una resolución judicial que incorpora un cambio de criterio jurisprudencial y cuya eficacia fuese meramente prospectiva sería un mero obiter dictum, convirtiendo al Tribunal en legislador, amén de que se frustraría la finalidad del proceso porque la sentencia no afectaría a las partes. El único límite temporal a que se limitan los cambios de criterio jurisprudenciales, de conformidad con la doctrina del Tribunal Constitucional, es a las situaciones jurídicas que gozan de la protección de la cosa juzgada, como no podía ser menos como garantía de salvaguardia de la tutela judicial efectiva proclamada en el artículo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 de diciembre de 2011, la demandante de amparo dedujo incidente de nulidad de actuaciones en el que, con una extensa argumentación, alegó vulneración del derecho a la tutela judicial efectiva, reconocido en el art. 24.1 de la Constitución, en su variante de acceso al recurso legal, por rigorismo y formalismo al inadmitir el recurso de casación, en tanto que la parte demandada y la Sala han podido conocer el contenido y alcance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de 15 de marzo de 2012, frente al que también se demanda amparo, se desestimó el incidente de nulidad promovido por la demandante. Se razona que la demandante expresa su discrepancia con la inadmisión del recurso de casación, utilizando el incidente de nulidad a modo de recurso de súplica, pretendiendo someter a crítica la bondad jurídica de una resolución que es firme y reiterando lo alegado en el escrito de alegaciones. Añade que la declaración de inadmisibilidad tampoco contradice el derecho a un proceso equitativo, reconocido en el art. 6.1 del Convenio europeo de derechos humanos, al respetarse el principio de proporcionalidad entre las limitaciones impuestas al derecho y el acceso a un tribunal para que examine el recurso y las consecuencias de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resolución del presente recurso de amparo ha de tenerse igualmente presente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89.1 LJCA dispone que en el escrito de preparación del recurso de casación deberá manifestarse “la intención de interponer el recurso, con sucinta exposición de la concurrencia de los requisitos de forma exigidos”. El art. 89.2 LJCA dispone que “en el supuesto previsto en el art. 86.4 ‘sentencias dictadas por las salas de lo contencioso-administrativo de los Tribunales Superiores de Justicia, contra las que solo cabe recurso si este puede fundarse en infracción de normas de Derecho estatal o comunitario europeo’, habrá de justificarse que la infracción de una norma estatal o comunitaria europea ha sido relevante y determinante del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Inicialmente el Tribunal Supremo circunscribió los requisitos de forma que deben expresarse en el escrito de preparación a la necesidad de hacer constar el carácter susceptible de recurso de la resolución impugnada, la legitimación de la parte recurrente, el cumplimiento del plazo legalmente fijado para presentar el escrito de preparación, y la intención de interponer el recurso de casación. En el caso de resoluciones procedentes de los Tribunales Superiores de Justicia, por disponerlo así el art. 89.2 en relación con el art. 86.4 LJCA, se entendía exigible también la anticipación o anuncio en el escrito de preparación de los motivos que iban a desarrollarse en la interposición y la expresión de las concretas infracciones denunciadas de la ley y de la jurisprudencia aplicables, con la finalidad de determinar si se trataba de normas estatales o de Derecho europeo relevantes para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Más adelante, algunas resoluciones del Tribunal Supremo (AATS de 3 de diciembre de 2009, recurso de casación 577-2009; 4 de marzo de 2010, recurso de casación 4416-2009, y 6 de mayo de 2010, recurso de casación 6228-2009) comenzaron a entender exigible con carácter general en los escritos de preparación del recurso de casación la expresión de los motivos de casación que iban a desarrollarse en el escrito de interposición. Tal exigencia no era general, pues, como declaran los AATS de 14 de octubre de 2010, recursos de casación 951-2010 y 573-2010; 18 de noviembre de 2010, recurso de casación 3461-2010; 25 de noviembre de 2010, recursos de casación 1886-2010 y 2738-2010; y 2 de diciembre de 2010, recursos de casación 3852-2010 y 5030-2010, “debe reconocerse que en ocasiones tal exigencia se ha predicado tan solo respecto de los recursos de casación preparados frente a sentencias de las Salas de lo Contencioso-administrativo de los Tribunales Superiores de Justicia, excluyéndose expresamente esta exigencia respecto de las sentencias de lo Contencioso-administrativo de la Audiencia Nacional (en este sentido, Autos de esta Sala y Sección de 23 abril 2009, recurso de casación 3146-2008; 9 julio de 2009, recurso de casación 5647-2008; y 6 abril 2010, recurso de casación 1368-2009,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los AATS 951/2010 y 573/2010, de 14 de octubre de 2010, y 3461/2010, de 18 de noviembre de 2010, al objeto de “clarificar” la jurisprudencia, la Sección Primera de la Sala de lo Contencioso-Administrativo del Tribunal Supremo precisó que la exigencia de “anticipar” en el escrito de preparación los motivos de casación era aplicable también a las Sentencias y Autos dictados por la Audiencia Nacional, como extensión de las exigencias de forma impuestas para el escrito de preparación del recurso de casación por el art. 89.1 LJCA. Según estos autos, en el escrito de preparación “es carga del recurrente en casación indicar ya en la fase de preparación el concreto o los concretos motivos en que se fundará el recurso”, con referencia a los “cuatro motivos que ahí se perfilan [se refiere al art. 88.1 LJCA]” (ATS 3461/2010, de 18 de noviembre de 2010.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ATS de 10 de febrero de 2011 (recurso de casación 2927-2010), al que se ha hecho ya referencia, dictado también por la Sección Primera de la Sala de lo Contencioso-Administrativo, a la que corresponde por reparto decidir sobre la admisibilidad de los recursos de casación, dictado también con la finalidad de “clarificar” la doctrina jurisprudencial, especificó que el escrito de preparación, con carácter general, debe contener no sólo la invocación de los motivos, sino también la indicación de “los concretos preceptos o jurisprudencia que se reputan infringidos o del contenido de las infracciones normativas o jurisprudenciales que se pretenda denunciar y desarrollar en el escrito de interposición del recurso de casación, aunque fuera de forma sucinta”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Auto expone las razones por las cuales se introdujo esta especificación de la siguiente forma: “Si así no se exigiera, es decir, si se estimara innecesario anticipar el motivo o motivos al que se acogerá el éxito de interposición en los términos expresados, el trámite de preparación quedaría privado de sentido y finalidad característicos, desde el momento en que el tribunal a quo quedaría desprovisto de elementos de juicio para verificar que el recurso de casación cumple el más primario requisito de procedibilidad, cuando este se funda formalmente en uno de sus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 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 1 que se utilice”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se reprocha al Auto de inadmisión frente al que se solicita amparo la vulneración del derecho a la tutela judicial efectiva, en su vertiente de derecho de acceso a los recursos. Afirma que en el escrito de preparación se dio cumplimiento al art. 88.1 d) LJCA, al citar las normas que se consideraban infringidas. En todo caso, considera subsanable la omisión contenida en el escrito de preparación del recurso, máxime cuando lo que parece que se encuentra en juego es el alcance de la “sucinta exposición”.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el Auto impugnado es contrario al principio “antiformalista y al principio favor acti”, mucho más si se toma en consideración que cuando se dicta dicho Auto la Sala ya tiene en su poder el escrito de interposición en el que se articulan los motivos propiamente dichos del recurso y se establecen los preceptos de las normas previamente invocadas que se reputan infringidas, pudiendo ser valorados conjuntamente el escrito de preparación y el de interposición en orden a la tramitación del recurso. Entiende que la parte demandada y el Tribunal Supremo han podido conocer perfectamente el contenido y alcance del recurso, cumpliendo con ello la finalidad del escrito de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posición del Tribunal Supremo casa mal con la doctrina del Tribunal Constitucional, al llevar a cabo una interpretación rigorista, fruto de un formalismo excesivo, que es claramente desproporcionada al contrastarse con los intereses que se sacrifican. Pues conociendo el Tribunal Supremo los motivos invocados y los extremos objeto del recurso, hubiese podido entrar a conocer del recurso al constar de manera indubitada la normativa que se invocaba y al no existir contradicción entre el escrito de preparación y el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mayo de 2013, la Sala Primera acordó admitir a trámite la demanda de amparo. Asimismo, en aplicación de lo dispuesto en el art. 51 de la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 1499-2011 y al recurso núm. 57-2008, respectivamente, debiendo previamente emplazarse para que pudieran comparecer en el recurso de amparo, en el término de diez días, a quienes hubieran sido parte en el procedimiento, excepto a la parte recurrente en amparo, acordando notificarle la resolución con efectos de emplazamiento al Abogado del Estado, en representación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certificaciones interesadas de las actuaciones judiciales y personado el Abogado del Estado mediante escrito presentado el 14 de mayo de 2013, mediante diligencia de ordenación de 10 de junio de 2013,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alegaciones mediante escrito presentado el 9 de julio de 2013, en el que solicita que se “dicte sentencia con arreglo a Derecho”. Considera que la exigencia jurisprudencial contenida en el ATS de 10 de febrero de 2011 de anticipar resumidamente los motivos casacionales que se desarrollaran en el escrito de interposición, no puede calificarse ni de arbitraria ni de irrazonable. Afirma que el auténtico problema constitucional que la demanda suscita, radica en la aplicación retrospectiva de las nuevas máximas jurisprudenciales contenidas en el ATS de 10 de febrero de 2011, inexistente cuando se presentó el escrito de preparación del recurso de casación.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demandante de amparo presentó escrito el 10 de julio de 2013 por el que reproducía las alegaciones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mediante escrito registrado el 23 de julio de 2013. En él recoge la doctrina del Tribunal Constitucional sobre el acceso a los recursos y la evolución de la jurisprudencia del Tribunal Supremo sobre los requisitos que debe reunir el escrito de preparación del recurso de casación contencioso-administrativo. A la vista de las alegaciones formuladas en la demanda de amparo, interesa que se desestime íntegramente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su exhaustivo y pormenorizado informe, realiza un detallado repaso de la evolución de la doctrina del Tribunal Supremo en relación con los requisitos que deber reunir el escrito de preparación del recurso. Señala que el ATS 2371/2011, de 10 de febrero, cambió la doctrina hasta entonces existente en el sentido de exigir, también para los recursos contra sentencias de la Audiencia Nacional, que en el escrito de preparación se especifique el concreto o concretos motivos en que se fundará el recurso, con indicación de los concretos preceptos o jurisprudencia que se reputan infringidos o del contenido de las infracciones normativas o jurisprudenciales que se pretendan denunciar y desarrollar en el escrito de interposición del recurso de casación, aunque sea en forma sucinta. Sostiene que dicha doctrina es la que se aplicó al caso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Ministerio Fiscal, circunscribiendo sus alegaciones al motivo de amparo invocado por el demandante, pone de manifiesto la doctrina del Tribunal Constitucional sobre el derecho de acceso al recurso, diferenciándolo del derecho de acceso a la jurisdicción, en lo relativo a la inoperancia del principio pro actione, en tanto que el derecho de acceso al recurso no nace directamente de la Constitución sino de la ley procesal, siendo pues un derecho de configuración legal, correspondiendo a los jueces y tribunales en exclusiva (art. 117.3 CE), verificar si el recurso cumple los requisitos procesales y materiales. Por ello, afirma, el control del Tribunal Constitucional es meramente externo, debiendo limitarse a comprobar si tienen motivación las resoluciones de inadmisión, si han incurrido en error patente, arbitrariedad o manifiesta irrazonabilidad. Siendo, si cabe, más limitado todavía el control que le corresponde al Tribunal Constitucional cuando la resolución enjuiciada en materia de acceso al recurso es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considera el Fiscal que por discutible que pueda parecer la argumentación que ha conducido a la inadmisión del recurso de casación, constituye una resolución debidamente motivada, no incursa en error patente, ni en irrazonabilidad, ni en arbitrariedad. Añade, el Fiscal, completando su exhaustivo informe, que la exigencia de especificar las concretas infracciones legales o jurisprudenciales fluye con naturalidad de los motivos de casación esgrimidos en el escrito de preparación del recurso, que se refieren precisamente a las infracciones de las normas reguladoras de la sentencia o de las que rigen los actos y garantías procesales y a la infracción de las normas del ordenamiento jurídico o de la jurisprudencia que fueran aplicable para resolver las cuestiones objeto de debate. Por ello concluye, que la exigencia resulta del propio tenor de los dos motivos de casación concretados por el demandante, que son los que ahora interesan, de modo que podría afirmarse que no es la jurisprudencia sino la norma legal la que impone tal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26 de febrero de dos mil quince, se señaló para deliberación y votación de la presente Sentencia el día 2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de amparo impugna el Auto de la Sección Primera de la Sala de lo Contencioso-Administrativo del Tribunal Supremo de 3 de noviembre de 2011, que acordó no admitir a trámite el recurso de casación interpuesto contra la Sentencia de la Sala de lo Contencioso-Administrativo de la Audiencia Nacional de 16 de febrero de 2011, recaída en el procedimiento ordinario núm. 57-2008. También impugna el Auto que desestimó el incidente de nulidad de actuaciones promovido contra el Auto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resolución, imputa a las resoluciones recurridas la vulneración de su derecho a la tutela judicial efectiva (art. 24.1 CE), en su vertiente de acceso a los recursos, afirmando que el Auto impugnado lleva a cabo una interpretación rigorista, fruto de un formalismo excesivo, contrario al principio pro actione, claramente desproporcionada a los intereses que se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planteado en la demanda de amparo ha sido ya abordado por este Tribunal en la STC 7/2015, de 22 de enero, en la que hemos tenido la oportunidad de examinar otro supuesto de inadmisión de un recurso de casación por omitirse en el escrito de preparación la cita de las normas y jurisprudencia que el recurrente reputaba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llevar a cabo una interpretación rigorista de las exigencias procesales del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Brualla Gómez de la Torre c. España; y de 25 enero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mayo 2000; Llopis Ruiz c. España, de 7 noviembre 2003; e Ipamark c. España,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 Francia, § 74), pues la evolución de la jurisprudencia no es en sí contraria a la correcta administración de justicia, ya que lo contrario impediría cualquier cambio o mejora en la interpretación de las leyes (STEDH de 14 de enero de 2010, caso Atanasovski c.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su excepcionamiento por disposición legal que establezca el efecto exclusivamente prospectivo de la sentencia, como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de jurisprudencia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consideración a lo argumentado en los fundamentos anteriores,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Promotora de Informaciones,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recurso de amparo núm. 2605-2012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Sala en la que se sustenta la sentencia, manifestamos nuestra discrepancia con la fundamentación jurídica y el fallo de Esta. Consideramos que hubiera debido ser estimatoria por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marzo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