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32</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17 de febrero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Constitucional el día 18 de diciembre de 2013, el Abogado del Estado, en nombre del Presidente del Gobierno, interpuso recurso de inconstitucionalidad contra el art. 1 de la Ley 4/2013, de 1 de octubre, de la Comunidad Autónoma de Andalucía, de medidas para asegurar el cumplimiento de la función social de la vivienda, por el que se da nueva redacción al art. 1.3 de la Ley 1/2010, de 8 de marzo, reguladora del derecho a la vivienda en Andalucía y se introducen en ella los arts. 25 y 53.1 a), y contra la disposición adicional primera de la mencionada Ley 4/2013.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invocó el art. 161.2 CE a fin de que se acordase la suspensión de los preceptos impugnados en 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14 de enero de 2014, el Pleno del Tribunal Constitucional, a propuesta de la Sección Tercera, acordó admitir a trámite el recurso de inconstitucionalidad, dar traslado de la demanda y documentos presentados, conforme establece el art. 34 de la Ley Orgánica del Tribunal Constitucional (LOTC), al Congreso de los Diputados y al Senado así como a la Junta de Andalucía y al Parlamento de Andalucía, al objeto de que en el plazo de quince días pudieran personarse en el proceso y formular las alegaciones que estimaren convenientes. Asimismo se tuvo por invocado por el Presidente del Gobierno el art. 161.2 CE, lo que, a su tenor y conforme dispone el art. 30 LOTC, produce la suspensión de la vigencia y aplicación de los preceptos impugnados desde la fecha de interposición del recurso —18 de diciembre de 2013— para las partes del proceso y desde el día en que aparezca publicada la suspensión en el “Boletín Oficial del Estado” para los terceros, lo que se comunicó a los Presidentes de la Junta de Andalucía y del Parlamento de Andalucía. Por último, también se ordenó publicar la incoación del recurso en el “Boletín Oficial del Estado” y en el “Boletín Oficial de la Junta de Andalucía”. El recurso se publicó en el “Boletín Oficial del Estado” núm. 15, de 17 de enero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Presidente del Congreso de los Diputados, mediante escrito registrado el día 22 de enero de 2014, comunicó que la Mesa de la Cámara, en su reunión de 21 de enero, había acordado la personación en este procedimiento y el ofrecimiento de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el día 24 de enero de 2014, la Letrada de la Junta de Andalucía solicitó que se tuviera por personada a la Junta de Andalucía y la ampliación del plazo para formular el escrito de alegaciones. El 27 de enero de 2014, el Pleno del Tribunal Constitucional acordó incorporar a las actuaciones el escrito de la Letrada, tener por personada a la Junta de Andalucía y prorrogar en ocho días el plazo concedido por la providencia de 14 de enero de 2014, a contar desde el día siguiente al de expiración del plazo 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día 30 de enero de 2014, la Letrada del Parlamento de Andalucía solicitó que se tuviera por personada al Parlamento de Andalucía y la ampliación del plazo para formular el escrito de alegaciones. El 3 de febrero de 2014 el Pleno del Tribunal Constitucional acordó incorporar a las actuaciones el escrito de la Letrada, tener por personado al Parlamento de Andalucía y prorrogar en ocho días el plazo concedido por la providencia de 14 de enero de 2014, a contar desde el día siguiente al de expiración del plazo 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día 18 de febrero de 2014, la Letrada de la Junta de Andalucía presentó sus alegaciones interesando la desestimación del recurso de inconstitucionalidad, instando mediante otrosí el levantamiento de la suspensión de la disposición impugnada antes de que transcurriera el plazo de cinco meses previstos en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el 24 de febrero de 2014, la Letrada del Parlamento de Andalucía presentó alegaciones interesando la desestimación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acuerdo del Pleno de 27 de febrero de 2014, se concedió a las partes un plazo de cinco días para exponer lo que consideraren conveniente acerca del mantenimiento o levantamiento de la suspensión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escrito registrado el día 5 de marzo de 2014 la Letrada de la Junta de Andalucía solicitó de nuevo el levantamiento de la suspensión antes del transcurso del plazo de cinco meses, reiterando alegaciones similares a las ya formuladas al respecto en el escrito de oposición al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Abogado del Estado, con fecha 10 de marzo de 2014, evacuó el trámite conferido interesando el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La Letrada del Parlamento de Andalucía presentó sus alegaciones, que tuvieron entrada en el Registro General de este Tribunal el 14 de marzo de 2014, interesando el levantamiento de la suspensión que pesaba sobre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Mediante el ATC 115/2014, de 8 de abril, el Pleno de este Tribunal acordó mantener la suspensión del art. 1 y de la disposición adicional primera de la Ley 4/2013, de 1 de octubre, de la Comunidad Autónoma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El día 17 de noviembre de 2014 tuvieron entrada en el Registro General del Tribunal Constitucional dos escritos de idéntica fecha (12 de noviembre de 2014) de la Letrada de la Junta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uno de los escritos, que se encabeza con la mención “pieza de medidas cautelares”, se alega que, con posterioridad al ATC 115/2014, de 8 de abril, “se han obtenido nuevos datos de la SAREB que podrían haber alterado el marco fáctico y probatorio tomado en consideración por ese Tribunal Constitucional para mantener la suspensión cautelar de los preceptos de la disposición autonómica recurrida”. Tras recordar la jurisprudencia constitucional sobre la posibilidad de, a la vista del cambio de circunstancias, levantar una suspensión previamente acordada (AATC 128/1993, de 20 de abril, y 266/2013, de 19 de noviembre), aduce dos nuevas circunstancias. Por un lado, destaca que el elemento distintivo del juicio de relevancia de los perjuicios para el interés general que efectuó el ATC 115/2014, de 8 de abril, con respecto al ATC 69/2014, de 10 de marzo, que en el recurso de inconstitucionalidad núm. 6036-2013 acordó mantener la suspensión de los preceptos de la Ley Foral 24/2013, de 2 de julio, de medidas urgentes para garantizar el derecho a la vivienda en Navarra, consistió en un informe de la Sociedad de gestión de activos procedentes de la reestructuración bancaria (SAREB). En ese informe descansaba la ponderación que el Abogado del Estado realizó sobre los supuestos perjuicios que se originarían al interés general, pues aquel alegó que “el levantamiento de la suspensión podría acarrear perjuicios de muy difícil reparación por cuanto afecta de modo directo y expreso a la finalidad y actividad de SAREB, cuyo éxito es garantía de que la reestructuración de las entidades de crédito que se ha realizado en los últimos meses se realiza mediante un adecuado reparto de costes y minimizando el riesgo para los contribuyentes”. En el citado informe de la SAREB se señalaba que la ejecución de la norma autonómica podría afectar al proceso de reestructuración español por cuanto en torno a un 12 por 100 de la cartera de activos inmobiliarios de la SAREB (6.379 viviendas) se encontraban radicada en territorio andaluz, esto es, un total de 911 viviendas. Sin embargo, esa situación de hecho declarada por la SAREB no era correcta, pues en escrito de 3 de junio de 2014, que se acompaña a las alegaciones, se advierte que en territorio andaluz la SAREB es titular de solo 98 viviendas protegidas, no de 911. En opinión de la Letrada de la Junta, la considerable diferencia entre los datos aportados entonces y los que se presentan ahora confirmarían el nulo valor que puede atribuirse a dicho informe y a su toma en consideración en la adopción de la medida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se aduce el cambio de circunstancias producidas en relación con otros informes tenidos en cuenta asimismo en el incidente cautelar relativo a la Ley navarra. Según la representación procesal de la Junta de Andalucía, los datos ofrecidos por el Banco de España en su informe de estabilidad financiera de noviembre de 2012, aportado por la Abogacía del Estado, quedaron superados ya en noviembre de 2013, pero resulta más significativa la variación producida en el último informe emitido en noviembre de 2014. En el último informe de estabilidad financiera, de noviembre de 2014, se señala lo siguiente: “En resumen, desde la publicación del último IEF se ha producido una mejoría de las condiciones de financiación en los mercados financieros nacionales. Por otra parte, el mayor dinamismo del PIB en España se está traduciendo en una recuperación del empleo. Esta evolución ha venido acompañada, además de un cierto fortalecimiento de la situación económica y financiera del sector privado no financiero” (p. 18). En suma, concluye la Letrada de la Junta, el panorama de reestructuración bancaria y financiera sigue avanzando y experimentando datos bastante positivos, hasta el punto de que la banca española ha superado los controles de calidad realizados entre agosto y septiembre de 2014 por el Banco Central Europeo con la colaboración de supervisores nacionales.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la Letrada de la Junta considera que las circunstancias tenidas en cuenta al dictar el ATC 115/2014 han sufrido una variación que permitiría el levantamiento de la suspensión acordada. Por ello, suplica al Tribunal que tenga por presentado el escrito con los documentos que acompaña y por formuladas las alegaciones en él contenidas, para que, tras los trámites de la ley y a la vista de los nuevos datos aportados, se sirva resolver en consecuencia, acordando el levantamiento de la suspensión en su día decretada.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el segundo escrito de la Letrada de la Junta de Andalucía registrado el mismo día se alega que se ha tenido conocimiento, por documentos posteriores, de nuevos datos que podrían afectar a la resolución del presente recurso, por lo que, de conformidad con lo previsto en el art. 89 LOTC, en relación con el art. 279 de la Ley de enjuiciamiento civil (LEC), se realizan diversas alegaciones. La primera alegación se refiere a la presentación de documentos posteriores y su admisibilidad como prueba documental propuesta por dicha parte, invocando el art. 89.1 LOTC y los arts. 270 y 286.1 LEC (cuya aplicación analógica viene admitida en el ATC 288/1984, de 16 de mayo). Se indica que la prueba documental que se presenta con el escrito consiste en los escritos de la SAREB presentados ante la Administración autonómica con posterioridad al escrito de oposición al recurso de inconstitucionalidad, y el informe de estabilidad financiera del Banco de España de 2014. La segunda alegación concierne a la justificación de la prueba documental que se aporta. A este respecto, se señala, por un lado, que el primero de los documentos aportados (el escrito de la SAREB de 18 de junio de 2014) señala que la SAREB es titular en territorio andaluz de 98 viviendas protegidas, y no de 911, como señalaba en el informe en el que el Abogado del Estado sustentó los supuestos impactos que derivarían de la aplicación de la norma autonómica y su solicitud de mantenimiento de la suspensión. Y, por otro lado, se señala que el informe de estabilidad financiera elaborado por el Banco de España en noviembre de 2014, contrarresta los datos contenidos en el informe de 2012 y que se aportaron con la demanda. Por todo ello, suplica al Tribunal que tenga por presentado dicho escrito, con los documentos que acompaña, y por formuladas las alegaciones en él contenidas, para que, tras los trámites de la Ley y a la vista de los nuevos datos aportados, se sirva admitirlos y tener por propuesta y practicada la prueba documental en que consisten.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Por providencia de 2 de diciembre de 2014, el Pleno del Tribunal acordó incorporar a las actuaciones los escritos y documentos presentados por la Letrada de la Junta de Andalucía el 17 de noviembre de 2014, y oír al Abogado del Estado y a la representación legal del Parlamento de Andalucía, para que en el plazo de cinco días, alegasen lo que estimaren procedente, sobre la licitud del levantamiento de la suspensión de los preceptos impugnados a la vista de los nuevos datos aportados y sobre la solicitud de práctica documental de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15. Mediante escrito registro el día 11 de diciembre de 2014, el Abogado del Estado evacuó el trámite conferido interesando el mantenimiento de la suspensión, pues, en síntesis, considera que los hechos alegados por la Junta de Andalucía no modifican los presupuestos que llevaron al Tribunal a decidir sobre el mantenimiento de la suspensión en el ATC 115/2014. A continuación se exponen los argumentos del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el Abogado del Estado aduce un nuevo informe, recabado de la SAREB y autorizado por el Ministerio de Economía y Competitividad, sobre el error expuesto por la Junta de Andalucía. Dicho informe explica las razones de la comisión del error, que se justifica en las especialidades del proceso de traspaso de las entidades cedentes que conllevaron dificultades para confeccionar un inventario. En cualquier caso, no se considera que dicho error sea trascendente en el presente caso. Por un lado, porque el número de viviendas de protección oficial titularidad de la SAREB no fue alegado en la pieza de suspensión como un criterio que acreditase perjuicios de imposible o difícil reparación. Por otro lado, porque el perjuicio que se causaría a la SAREB en el caso del levantamiento de la suspensión sigue siendo el mismo, como se acredita en el nuevo informe emitido por dicha entidad, al poner en riesgo la solvencia de la entidad y los fines públicos constitutivos de su objeto social. Por ello, se señala que, con la excusa del error en el número de viviendas protegidas, se parece soslayar el argumento principal tenido en cuenta por el Tribunal en el ATC 115/2014, que es, fundamentalmente, la situación del sistema financiero español.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el Abogado del Estado señala que la Junta de Andalucía ya alegó en el trámite previo a la adopción del ATC 115/2014 que la situación que justificó la suspensión había sido superada, y que el Tribunal Constitucional desestimó entonces dicho argumento, por lo que no puede considerarse un hecho nuevo. En cualquier caso, señala que el Ministerio de Economía y Competitividad ha solicitado al Banco de España su criterio al respecto, y que el informe de la entidad reguladora, con fecha de 5 de diciembre de 2014, concluye que “se mantienen los riesgos ya mencionados en nuestro informe de 2 de septiembre de 2013 en relación con el eventual levantamiento de la suspensión de la Ley 4/2013 de la Comunidad Autónoma de Andalucía”. El Abogado del Estado señala que la mejora económica a la que se refieren las alegaciones en las que se solicita la suspensión se debe en parte a las medidas adoptadas por el Gobierno, y que tal mejora se puede poner en entredicho de alzarse la suspensión que, en ningún caso, puede servir de argumento para minimizar los perjuicios al interés general que puede causar el levantamiento de la suspensión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el Abogado del Estado concluye que no concurren los presupuestos de hecho que justifiquen una reconsideración por parte del Tribunal de la decisión adoptada, y suplica que se acuerde el mantenimiento de la suspensión de los preceptos impugnados de la Ley 4/2013. Por otrosí señala finalmente que, a la vista de sus alegaciones, carece de sentido y no resulta procedente la práctica de prueba documental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16. La Letrada del Parlamento de Andalucía, en nombre y representación de éste, presentó sus alegaciones en escrito registrado en este Tribunal el 17 de diciembre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que la posibilidad de incorporar informes y documentos a los autos entre la fase de alegaciones y la Sentencia se encuentra amparada en los arts. 88.1 y 89.1 LOTC, y así lo viene entendiendo el Tribunal Constitucional, sin necesidad de acordar el recibimiento a prueba y rechazando el traslado automático al proceso constitucional de los principios aplicables al proceso ordinario, así como una interpretación rigurosa y formalista de los mismos (AATC 223/1984, de 9 de abril, FJ 2; 288/1984, de 16 de mayo, 155/1996, de 11 de junio, y 67/2009, de 24 de febrero, FJ 2). De acuerdo con la doctrina constitucional, los documentos aportados por el Gabinete Jurídico de la Junta de Andalucía reúnen las exigencias necesarias para su incorporación a los autos a fin de que sean tenidos en cuenta por el Tribunal Constitucional a la hora de dictar Sentencia y a la hora de resolver sobre las demás cuestiones que se plantean en el presente proceso constitucional: se trata de documentos de fecha posterior a la formulación de los escritos de alegaciones, que por tanto no pudieron ser aportados con los mismos; versan sobre cuestiones de hecho; y son relevantes para la decisión de las cuestiones debatidas en el proceso en los términos en los que éste ha sido planteado. Así pues, su presentación no implica una formulación extemporánea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relevancia de los documentos que se pretende aportar al proceso, se afirma que vienen a demostrar que los hechos y datos con los que el Estado trataba de demostrar la inconstitucionalidad de las disposiciones impugnadas no son ciertos. En ellos la SAREB reconoce expresamente que los datos reflejados en aquel informe son erróneos, y que la cartera de activos inmobiliarios de la SAREB radicados en el territorio de Andalucía es bastante menor de lo que se afirmaba en el mismo. En efecto, en el escrito de 18 de junio de 2014 se afirma textualmente lo siguiente: “Según el informe elaborado por el Colegio de Registradores a partir de la información facilitada por los registros, el SAREB es titular de 98 viviendas protegidas en el territorio de esta Comunidad Autónoma. Se trata de un número sensiblemente inferior al de 911 inicialmente estimado, pero ello es debido a que las cifras inicialmente consideradas constituían datos meramente estimativos en la medida en que se basaban en información preliminar proporcionada por las entidades transmitentes, no habiendo sido validados ni comprobados, y además, constituían meros datos globales de volumen de viviendas, calculados mediante un proceso de simple estimación basados en los datos generales de distribución de cartera por Comunidades y distribución de cartera por tipologías”. Este reconocimiento por parte de la SAREB de que los datos que figuran en el informe aportado al recurso de inconstitucionalidad y al incidente de suspensión son erróneos elimina su eficacia probatoria y privan de cualquier sustento fáctico a los daños y perjuicios invocados por el Estado y en los que se ha sustentado la suspensión de las disposiciones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señala que la revocabilidad de las decisiones sobre mantenimiento o prórroga de la suspensión de las disposiciones impugnadas en el recurso de inconstitucionalidad, cuando hayan “sobrevenido circunstancias o hechos nuevos que, no habiendo podido ser tenidos en cuenta en momentos posteriores, sean relevantes para modificar lo acordado sobre la suspensión”, ha sido reconocida y admitida por el Tribunal Constitucional en reiteradas ocasiones (AATC 934/1987, 128/1993, 268/1993, 347/1995, y 266/2013). Y que del ATC 115/2014, FJ 5, se desprende claramente que, para el Tribunal Constitucional, la capacidad de las disposiciones impugnadas para poner en riesgo la estabilidad del sistema financiero y la reestructuración del sector bancario está directamente vinculada al contexto de crisis económica en el que se adoptan y en el que se emiten los informes del Ministerio de Economía y Competitividad, del Banco de España y de la SAREB, informes todos ellos que tienen una influencia decisión en la decisión del Tribunal Constitucional. Pues bien, el informe de estabilidad financiera emitido por el Banco de España en noviembre de 2014 pone de manifiesto que la situación o el contexto económico considerado en el ATC 115/2014, de 8 de abril, en aquellos informes y en las alegaciones del Abogado del Estado ha cambiado radicalmente y que la situación de desconfianza de los mercados en la economía española y en su sistema crediticio ha mejorado sustancialmente, como también ha mejorado notablemente la situación del sector bancario y financiero. Ahora, desaparecido el contexto económico y la excepcional situación de desconfianza en el sistema crediticio y bancario en el que las disposiciones impugnadas eran susceptibles de afectar a la estabilidad del sistema financiero y de generar los datos y perjuicios para el interés público que, conforme a lo dispuesto en el ATC 115/2014 justificaron su suspensión, y mientras que no se constate que han infringido la Constitución, debe prevalecer su presunción de legitimidad en cuanto expresión de la voluntad popular.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se recuerdan los intereses a que respondían las normas impugnadas y que fue reconocido por el propio Tribunal en el ATC 115/2014 (el interés público relativo al derecho a la vivienda, y el interés privado de colectivos sociales vulnerables que se beneficiarían de ella), y se señala que es público y notorio que las normas dispuestas por el Estado para atender a esas necesidades y que fueron tenidas en cuenta en el ATC 115/2014, FJ 5 c), para ponderar los intereses juego, se han mostrado notoriamente insuficientes, pues el número de desahucios sigue aumentando y, pese a la recuperación económica expuesta en el informe del Banco de España de noviembre de 2014, la situación de las personas destinatarias de las medidas contenidas en las disposiciones impugnadas no ha mejorado.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se suplica que se tenga por presentado el escrito y por formuladas las alegaciones que en él se contienen y en su día se sirva dictar Auto en el que admita la prueba documental aportada por la Letrada de la Junta de Andalucía e, igualmente, acuerde el levantamiento de la suspensión, decretada en su día, de las disposiciones impugnadas en este proceso.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Junta y el Parlamento de Andalucía solicitan nuevamente el levantamiento de la suspensión de la vigencia del art. 1 [en cuanto que da nueva redacción al art. 1.3 e) introduce los arts. 25 y 53.1 a) en la Ley 1/2010, de 8 de marzo, reguladora del derecho a la vivienda en Andalucía] y la disposición adicional primera de la Ley 4/2013, de 1 de octubre, de la Comunidad Autónoma de Andalucía de medidas para asegurar el cumplimiento de la función social de la vivienda, acordada inicialmente por providencia de 14 de enero de 2014 —en aplicación de lo dispuesto en los arts. 161.2 CE y 30 de la Ley Orgánica del Tribunal Constitucional (LOTC)— y ratificada con posterioridad por el ATC 115/2014, de 8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dicho Auto, dictado a instancia de la Junta y el Parlamento de Andalucía antes del transcurso de cinco meses a que se refiere el art. 161.2 CE, ya se procedió a ponderar los perjuicios o repercusiones negativos que sobre los intereses generales y, en su caso, particulares podría ocasionar el mantenimiento o el levantamiento de la suspensión acordada, así como la dificultad o imposibilidad de reparar las consecuencias derivadas de una u otra decisión cautelar, todo ello a la luz de la naturaleza cautelar de la medida y sin prejuzgar el sentido del fallo que, cuando proceda, deba adoptarse sobre el fondo de la impugnación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nuestra doctrina, la existencia del referido Auto por el que, denegando la pretensión planteada se ratificó el mantenimiento de la suspensión de la vigencia y aplicación de los preceptos impugnados, no impide que, en cualquier momento, este Tribunal pueda reconsiderar la decisión adoptada, en uso y aplicación de las amplias facultades de ordenación procesal que ostenta. De manera que, cuando una de las partes alega que se ha producido algún cambio de circunstancias relevantes para modificar lo acordado sobre la suspensión, el Tribunal puede considerar la pertinencia de esas alegaciones (AATC 934/1987, de 21 de julio, FJ 2; 128/1993, de 20 de abril, FJ 1; y 266/2013, de 19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Esto es lo que sucede en el presente caso. Las representaciones procesales del Parlamento y la Junta de Andalucía solicitan el levantamiento de la suspensión de los preceptos impugnados con el argumento de que, con posterioridad al ATC 115/2014, han sobrevenido circunstancias que resultan relevantes para modificar lo acordado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en el presente caso debemos examinar, en primer lugar, si han sobrevenido efectivamente circunstancias o hechos nuevos que, no habiendo podido ser tenidos en cuenta en momentos anteriores, pueden determinar una modificación de la ponderación de los intereses en presencia, de un lado, y de los perjuicios de imposible o difícil reparación que se sigan del mantenimiento de la suspensión, del otro. Y, en segundo lugar, debemos analizar la relevancia de tales circunstancias para modificar lo acordado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Antes de resolver este incidente cautelar debemos precisar una cuestión de orden procesal. La Letrada de la Junta de Andalucía ha presentado en la misma fecha dos escritos con unas alegaciones muy similares, uno encabezado con la mención “pieza de suspensión cautelar” y otro —sin una mención determinada— en el que se alega también sobre la admisibilidad de los documentos aportados invocando, entre otros, el art. 89.1 LOTC. Tales documentos, que ya se tuvieron por incorporados a los autos por providencia de 14 de enero de 2014, no necesitan ser objeto de recibimiento a prueba, punto en el que coinciden tanto el Abogado del Estado como el Parlamento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nuestra doctrina, la Ley de enjuiciamiento civil puede ser aplicada de forma analógica en el procedimiento constitucional (ATC 288/1984, de 16 de mayo, FJ 2). Pues bien, el art. 270 de la Ley de enjuiciamiento civil (LEC) establece que se pueden aportar documentos relativos al fondo del asunto con posterioridad a la contestación a la demanda cuando sean de fecha posterior, siempre que no se hubiesen podido confeccionar ni obtener con anterioridad a dichos momentos procesales. Igualmente, como ha ocurrido en el presente caso, se debe admitir la aportación de documentos relacionados con el levantamiento o mantenimiento de la suspensión cuando una de las partes alegue que se ha producido un cambio sobrevenido de circunstancias relevante para modificar lo acordado sobre la suspensión. Y, por tanto, una vez que ya han sido incorporados al recurso los referidos documentos, no ha lugar al recibimiento a prueba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circunstancias alegadas por las representaciones procesales del Parlamento y la Junta de Andalucía para solicitar ahora el levantamiento de la suspensión de los preceptos impugnados se resumen en, por una parte, el reconocimiento por parte de la Sociedad de gestión de activos procedentes de la reestructuración bancaria (SAREB) del carácter erróneo de uno de los datos incluidos en el informe que dicha entidad remitió al Ministerio de Economía y Competitividad y sobre el que descansaron las alegaciones efectuadas por el Abogado del Estado en el primer incidente de suspensión relativas a los posibles perjuicios al interés general que se derivarían del levantamiento de la suspensión; y, por otra parte, en la mejora del sistema financiero español desde el momento en que se adoptó la Ley impugnada, que se desprende en particular del último informe de estabilidad financiera del Banco de España de noviembre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existencia de tales circunstancias, que se han acreditado mediante los documentos incorporados a los autos, no ha sido negada por la representación procesal de la Administración del Estado. Tanto la corrección del referido dato como el mencionado informe del Banco de España pueden considerarse circunstancias nuevas a los efectos de un nuevo incidente de suspensión: por una parte, el nuevo dato sobre el número de viviendas protegidas de titularidad de la SAREB en Andalucía fue elaborado por esa entidad a partir de información contrastada obtenida de los registros de la propiedad, y notificado a la Junta de Andalucía el 18 de junio de 2014, todo ello con posterioridad a nuestro ATC 115/2014; y, por otra, el nuevo informe de estabilidad financiera del Banco de España lleva fecha de noviembre de 2014, igualmente posterior a la de dicho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Aunque el Abogado del Estado parece discutir su condición de circunstancias nuevas, en realidad no discute tanto su existencia o realidad como su relevancia para modificar la suspensión acordada por el ATC 115/2014. Justamente, a tal fin aduce a su vez el contenido de nuevos informes recabados de la SAREB y del Banco de España en los que ambas entidades se manifiestan sobre la relevancia de las circunstancias alegadas por la Junta y el Parlamento de Andalucía. Así pues, a continuación nos centraremos en examinar la relevancia de dichas circunstancias en aras al mantenimiento o levantamiento de la suspensión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Letradas del Parlamento y la Junta de Andalucía alegan, en primer lugar, que se incluyó un dato erróneo en el informe que la SAREB remitió al Ministerio de Economía y Competitividad, sobre el que se basaron las alegaciones efectuadas por el Abogado del Estado en el anterior incidente de suspensión sobre los posibles perjuicios al interés general que se derivarían del levantamiento de la suspensión. En aquel informe se afirmó que el número de viviendas protegidas que eran titularidad de la SAREB en el territorio andaluz era de 911. No se trata de un error material o de transcripción. En escrito remitido a la Junta de Andalucía con fecha de 18 de junio de 2014, la propia SAREB señaló que, tras recibir el informe elaborado por el Colegio de Registradores de Andalucía, el dato correcto era el de 98 viviendas. En ese escrito la SAREB reconoció que la cifra incluida en el informe previamente evacuado al Ministerio de Economía y Competitividad se basó en meras estimaciones, basadas en información preliminar proporcionada por las entidades transmitentes de activos, datos que, como se reconoce, no habían sido “validados ni comprobados”.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las representaciones procesales del Parlamento y la Junta de Andalucía el referido dato erróneo vendría a acreditar el “nulo valor” que debe atribuirse al informe de la SAREB en su conjunto. En cambio, la representación procesal del Estado sostiene la irrelevancia del dato erróneo incluido en el primer informe de la SAREB, sobre la base de dos argumentos: por un lado, el dato no fue mencionado por este Tribunal en el ATC 115/2014, al basarse los argumentos utilizados en la situación financiera española; por otro lado, el dato en sí no es relevante en el conjunto de los intereses que deben ser ponderados.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Ciertamente, el ATC 115/2014 no menciona el dato del número de viviendas protegidas de titularidad de la SAREB. El Auto no avala ni rechaza el dato erróneo del número de viviendas protegidas de titularidad de la SAREB que alegó el Abogado del Estado, como no avala ni rechaza el dato sensiblemente inferior que aducía de contrario la Junta de Andalucía en sus alegaciones, según la cual el porcentaje de viviendas vacías que correspondía a la SAREB en Andalucía era de un 1 por 100 del total.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importante a los efectos de reconsiderar la suspensión acordada es que el ATC 115/2014 no construye su argumentación —ni extrae su conclusión— a favor del mantenimiento de la suspensión a partir del referido dato en particular ni del contenido del informe de la SAREB en general. El argumento determinante fue entonces la estabilidad del sistema financiero contemplada como un interés público. Para alcanzar esa conclusión este Tribunal no atendió al número de viviendas protegidas titularidad de la SAREB potencialmente afectadas, sino a la posible incidencia de las medidas autonómicas en el proceso de reestructuración bancario español. Y para analizar el riesgo que dichas medidas autonómicas podrían conllevar para ese interés público, este Tribunal consideró, tal y como había hecho en el ATC 69/2014, que había que “atender de un modo principal a los juicios de las instituciones especializadas en la materia e independientes de las partes, siempre claro está que no sean desvirtuados por otros datos o análisis aportados por quienes pretendan el levantamiento de la suspensión”. A lo que añadió que en el ATC 69/2014 se había reconocido explícitamente valor probatorio a los informes de la Comisión Europea, del Banco Central Europeo, del Fondo Monetario Internacional y del Banco de España.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hecho de que, como alega la Letrada de la Junta de Andalucía, el elemento distintivo del juicio de relevancia de los perjuicios para el interés general que efectuara el Abogado del Estado en el incidente que condujo al ATC 115/2014, con respecto al ATC 69/2014, consistiera en un informe de la SAREB no significa que la ponderación que realizó este Tribunal fuera asimismo diferente ni que se fundamentara precisamente en dicho informe. Todo lo contrario. Este Tribunal señaló expresamente al comienzo de su decisión que iba a aplicar “el mismo juicio de relevancia de los perjuicios para el interés general que efectuamos en dicha resolución” (FJ 4), recordó explícitamente el valor probatorio reconocido a los informes utilizados en el ATC 69/2014, FJ 5, y alcanzó explícitamente la misma conclusión que en el ATC 69/2014: “[l]os razonamientos expuestos permiten concluir que en la ponderación de los intereses en presencia, y subrayando la especial relevancia de la medida de política económica general de estabilidad del sistema financiero, que tiene un indudable interés público prevalente, y la proyección de esta materia en el contexto internacional, apreciemos que debe mantenerse la suspensión de los preceptos impugnados, sin que la medida adoptada implique, en este caso concreto, un relevante menoscabo del resto de los intereses en presencia”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segundo lugar, las Letradas del Parlamento y la Junta de Andalucía alegan la mejora del sistema financiero español desde el momento en que se adoptó la Ley impugnada, que se desprende en particular del último informe de estabilidad financiera del Banco de España de noviembre de 2014: este informe acreditaría una mejora del sistema financiero español, que de alguna forma rebatiría el diagnóstico realizado por la misma entidad en el informe de estabilidad financiera de 2012 y que fue utilizado en el anterior incidente de suspensión; todo ello, en consecuencia, sería relevante para modificar lo acordado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rechaza que el último informe de estabilidad financiera del Banco de España pueda hacer variar el sentido de la decisión de este Tribunal, en cuanto que la situación de riesgo del sistema de financiación español no ha terminado. A tal fin remite a un informe específico recabado del Banco de España por el Ministerio de Economía y Hacienda, que se pronuncia sobre los eventuales perjuicios derivados del levantamiento de la suspensión y que se ratifica en el mantenimiento de los riesgos ya mencionados en el informe de 2 de septiembre de 2013 en relación con el eventual levantamiento de la suspensión. A lo anterior el Abogado del Estado añade que la mejora de la situación económica puede ponerse en entredicho de alzarse la suspensión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ATC 69/2014 señalamos que para analizar si las medidas autonómicas son aptas para poner en riesgo el interés público cifrado en la estabilidad del sistema financiero, “h[abía]mos de atender en un modo principal a los juicios de las instituciones especializadas en la materia e independientes de las partes, siempre claro está que no sean desvirtuados por otros datos o análisis aportados por quienes pretendan el levantamiento de la suspensión” (FJ 4). Aplicamos el mismo criterio, con reproducción literal de dicho fragmento, en el ATC 115/2014, FJ 5. En el presente caso las representaciones procesales de la Junta y del Parlamento de Andalucía no pretenden desvirtuar el juicio de una institución especializada en la materia como es el Banco de España aportando datos o análisis de signo contrario de otras instituciones especializadas, sino a partir de concretas consideraciones vertidas por la propia entidad en torno a la mejoría de la economía española en el informe de estabilidad financiera de noviembre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tenerse presente que el informe de estabilidad financiera del Banco de España es un informe de coyuntura global y, por tanto, necesariamente general. No se ocupa de ponderar los efectos de las medidas autonómicas sobre la estabilidad del sistema financiero español. En cambio, el informe del Banco de España que ha sido recabado por el Ministerio de Economía y Competitividad y que, alegado por el Abogado del Estado, se encuentra incorporado a los autos pondera específicamente los efectos de las medidas autonómicas teniendo ya en cuenta la mejora global a la que alude el otro informe. Sin duda, el diagnóstico de la situación actual de la economía española y del sistema bancario español en especial que realiza el Banco de España es más matizado ahora que en 2012 o en 2013. Lo determinante a los efectos del presente incidente de suspensión es que, aunque se constate una mejora con respecto a esos años, al mismo tiempo se señala la persistencia de riesgos y amenazas sustanciales. Por ello, la conclusión final del Banco de España sobre la base del conjunto de elementos económicos resulta inequívoca en cuanto a los riesgos para la estabilidad del sistema financiero que derivarían del levantamiento de la suspensión de los preceptos impugnados y considera que se mantienen los riesgos considerados en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alguna forma las representaciones procesales de la Junta y el Parlamento de Andalucía pretenden que asignemos una mayor importancia relativa a los aspectos de mejora constatados por el Banco de España, desconociendo los riesgos sustanciales que todavía perviven según esa entidad. Nada de eso podemos hacer. Este Tribunal no está en situación de efectuar por sí mismo un juicio alternativo al del Banco de España, ni puede desconocer la inequívoca conclusión final alcanzada por una institución especializada —como es la mencionada entidad reguladora— sobre los riesgos para la estabilidad del sistema financiero español, salvo que, como hemos indicado con anterioridad, las partes desvirtúen esa conclusión final con datos o análisis de signo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Letrada del Parlamento de Andalucía aduce asimismo que las normas dispuestas por el Estado para atender a las necesidades de vivienda de colectivos sociales vulnerables, y que fueron tenidas en cuenta en el ATC 115/2014 [FJ 5 c)], para ponderar los intereses en juego, se han mostrado notoriamente insuficientes, y que el número de desahucios sigue aumentando. Estos argumentos, que se dirigen bien a discutir algunas de las razones jurídicas que nos llevaron a estimar que no se producía un relevante menoscabo de los intereses asociados al levantamiento de la suspensión bien a sostener que los perjuicios derivados del mantenimiento de la suspensión son ahora mayores que antes, no pueden aceptarse para revisar la ponderación ya efectuada.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un lado, no se concreta la pretendida insuficiencia de las normas estatales para atender las necesidades de vivienda de colectivos sociales vulnerables ni el número de desahucios que se producen en Andalucía, y sobre todo no se acredita de qué forma esa pretendida insuficiencia supone un importante menoscabo de los intereses públicos y privados en presencia hasta el punto de que deba ser reconsiderada la ponderación realizada en el ATC 115/2004. Recordemos que corresponde a quien solicita el levantamiento de una suspensión acordada alegar que se ha producido un cambio de circunstancias relevantes para modificar aquella.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los perjuicios asociados al mantenimiento de la suspensión de los preceptos impugnados que ahora se alegan ya fueron tenidos en cuenta en la ponderación realizada en el ATC 115/2014, por lo que no estaríamos en presencia de hechos nuevos. En cualquier caso, nuestra conclusión entonces fue, al igual que en la ATC 69/2014, que “en la ponderación de los intereses en presencia, y subrayando la especial relevancia de la medida de política económica general de estabilidad del sistema financiero, que tiene un indudable interés público prevalente, y la proyección de esta materia en el contexto internacional, apreci[a]mos que debe mantener la suspensión de los preceptos impugnados, sin que la medida adoptada implique, en este caso concreto, un relevante menoscabo del resto de los intereses en presencia”.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suma, debe rechazarse la solicitud que ha presentado la Junta de Andalucía. En tanto que las circunstancias nuevas alegadas por las representaciones procesales de la Junta y el Parlamento de Andalucía no desvirtúan la ponderación realizada en el ATC 115/2014 sobre los intereses que se encuentran concernidos, de un lado, y los perjuicios que puedan derivarse del mantenimiento o levantamiento de la suspensión, de otro, debemos reiterar la misma conclusión que extrajimos en aquel Auto y, por ello, debemos ratificar el mantenimiento de la suspensión de los preceptos impugnados entonces acordada, sin prejuzgar el sentido del fallo que, cuando proceda, deba adoptarse sobre el fondo de la impugnación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Mantener la suspensión del art. 1 de la Ley 4/2013, de 1 de octubre, de la Comunidad Autónoma de Andalucía de medidas para asegurar el cumplimiento de la función social de la vivienda, por el que se da nueva redacción al art. 1.3 de la Ley 1/2010, de 8 de marzo, reguladora del derecho a la vivienda en Andalucía y se introducen en ella los arts. 25 y 53.1 a), y de la disposición adicional primera de la mencionada Ley 4/2013.</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No haber lugar a recibimiento a prueba de los documentos presentados por la Junta de Andalucía.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febrero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Juan Antonio Xiol Ríos, al que se adhieren los Magistrados don Luis Ignacio Ortega Álvarez y don Fernando Valdés Dal-Ré, respecto del Auto dictado en el recurso de inconstitucional núm. 7357-2013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respeto a la opinión mayoritaria de mis compañeros en la que se sustenta el Auto, manifiesto mi discrepancia con la argumentación y decisión de mantener la suspensión del art. 1 de la Ley 4/2013, de 1 de octubre, de la Comunidad Autónoma de Andalucía de medidas para asegurar el cumplimiento de la función social de la vivienda.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Voto particular que formulé junto con otros Magistrados al ATC 115/2014, de 8 de abril, por el que se acordaba mantener la suspensión de los preceptos impugnados en este recurso de inconstitucionalidad, se exponían las razones por las que se consideraba que debía haberse alzado su suspensión.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Lo que procede ahora ponderar es la existencia de circunstancias sobrevenidas que puedan resultar relevantes para modificar la previa decisión de mantener la suspensión. En el presente caso cabe hacer, sin embargo, una doble consideración: (i) Las circunstancias sobrevenidas alegadas por el Parlamento y la Junta de Andalucía han supuesto un respaldo a los argumentos que se defendieron en el Voto particular para discrepar con la decisión de mantener la suspensión; y (ii) su alegación ha puesto de manifiesto que el presupuesto fáctico en que se sustentaba entonces la Abogacía del Estado —y que asumió la posición mayoritaria— para hacer prevalecer los riesgos para los intereses generales frente a la presunción de legitimidad de la expresión de la voluntad del pueblo andaluz ha quedado alterado de manera relevante y sustancial.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ATC 115/2014, por remisión al ATC 69/2014, de 10 de marzo, sustentó la decisión de mantenimiento de la suspensión de la normativa impugnada en el riesgo para el buen funcionamiento y estabilidad del sistema financiero derivado de la posibilidad de que fuera expropiado el uso temporal de las viviendas desocupadas titularidad de personas jurídicas, mayoritariamente entidades integrantes del sector financiero, para dar cobertura a la necesidad de vivienda de las personas en especiales circunstancias de emergencia social incursas en procedimientos de desahucio por ejecución hipotecaria. El apoyo probatorio de la existencia de ese riesgo se cifraba en diversos informes y documentos, entre los que se atribuyó especial importancia (i) al hecho de que un instrumento clave del programa de reestructuración del sistema financiero español era la creación de un llamado “banco malo”, cuyo accionista de referencia sería el Estado, y cuya finalidad era recibir el traspaso de activos de peor calidad —la Sociedad de gestión de activos procedentes de la reestructuración bancaria (SAREB)—; y (ii) a que este tipo de medidas autonómicas tenía un impacto preocupante en el plan de negocios de la SAREB (se adjuntaba un informe de la propia SAREB en que se afirmaba, entre los datos más relevantes, que el número de viviendas protegidas titularidad de esa sociedad afectadas por la norma impugnada era de 911).</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Frente a ese razonamiento, el Parlamento y la Junta de Andalucía han puesto de manifiesto, por un lado, que la SAREB ha reconocido que el dato correcto de viviendas de protección oficial afectadas era un 10 por 100 de las inicialmente tomadas en consideración; y, por otro, la existencia de nuevos informes macroeconómicos y de coyuntura en que se expone una situación de estabilidad del sistema financiero español alejada de los acusados riesgos presentes en años anteriores.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mi opinión, ambas circunstancias hubieran debido ser suficientes, como causas sobrevenidas relevantes, para acordar el levantamiento de la suspensión. La evidencia de proceso argumental seguido en los AATC 69/2014 y 115/2014 permite concluir que no resulta asumible (i) descartar la relevancia del reconocimiento del error en la cuantificación de viviendas afectadas por la norma, negando que ese hubiera sido un aspecto ponderado para sustentar la decisión del ATC 115/2014, pues el impacto de la medida en el plan de negocios de la SAREB era uno de los argumentos principales por los que se solicitó el mantenimiento de la suspensión; y (ii) poner el énfasis en la interpretación del informe de estabilidad financiera del Banco de España de noviembre de 2014, el cual está desactualizado por referirse al año 2013 y pondera la persistencia de los riesgos, pero no la mejora comparativa en relación con la situación previa tomada en consideración para decidir el mantenimiento de la suspensión.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Incluso asumiendo la existencia de unos supuestos graves perjuicios, llegado este momento hubiera sido procedente, en mi opinión, discriminar qué concretos aspectos de la regulación impugnada eran susceptibles de provocarlo para limitar los efectos de la suspensión. En contra de este razonable criterio, el Auto del que discrepo mantiene una suspensión en bloque de todos los preceptos impugnados, entre los que se incluyen aspectos como la determinación del contenido esencial del derecho de propiedad o la definición de vivienda ocupada, los cuales, por sí solos, no son susceptibles de ocasionar ningún perjuicio de imposible o difícil reparación.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diecisiete de febrero de dos mil quince.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