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25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noviembre de 2012, el Procurador de los Tribunales don Miguel Torres Álvarez, en nombre y representación de doña María Isabel Hernández Bernal, y bajo la dirección del Letrado don Mario Páez Álvarez, presentó demanda de amparo contra el Auto de la Sección Segunda de la Audiencia Provincial de A Coruña de 19 de septiembre de 2012, por el que se desestima el incidente de nulidad interpuesto contra la Sentencia de 28 de mayo de 2012 que estima el recurso de apelación núm. 576-2012 interpuesto contra la Sentencia del Juzgado de lo Penal núm. 6 de A Coruña de 27 de enero de 2012, dictada en el procedimiento abreviado núm. 298-2010.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dieron lugar a este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demandante fue absuelta por Sentencia del Juzgado de lo Penal núm. 6 de A Coruña de 27 de enero de 2012, dictada en el procedimiento abreviado núm. 298-2010, de delito de daños del que era acusada. La Sentencia declara probado que la acusada, con motivo del abandono de un local que tenía arrendado, contrató a una persona para que retirara todos los objetos que consideraba de su propiedad, incluyendo la instalación eléctrica, puertas interiores y el plomo de una habitación de rayos x, para lo que tuvo que romper parte de una pared de pladur, así como otros desperfectos y almacenamiento de escombros. La Sentencia considera que los hechos no son constitutivos de un delito de daños al no concurrir el dolo específicamente delictivo y propio de este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acusación particular interpuso recurso de apelación, tramitado con el núm. 576-2012 por la Sección Segunda de la Audiencia Provincial de A Coruña, que fue estimado por Sentencia de 28 de mayo de 2012 condenando, entre otros, a la ahora demandante en amparo como autora de un delito de daños a la pena de multa de seis meses con una cuota diaria de diez euros y al pago de una responsabilidad civil. Esta Sentencia argumenta que, sin necesidad de modificar los hechos probados en respeto a la STC 167/2002, las fotografías unidas a la causa y los informes de la guardia civil y los peritos “evidencian claramente la existencia de daños intencionados, pues son de tal magnitud y entidad que no pueden responder a otra intención”.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recurrente formuló incidente de nulidad de actuaciones alegando la vulneración del derecho a un proceso con todas las garantías por entender que había sido condenada en la segunda instancia sin respetar la garantía de inmediación y sin que hubiera sido oída. El incidente fue desestimado por Auto de 19 de septiembre de 2012 argumentando, con cita en la STC 153/2011, de 17 de octubre, que la doctrina constitucional permite la revocación de sentencias absolutorias “cuando el nuevo criterio no implique una nueva y distinta valoración de la prueba personal efectuada por el sentenciados de instancia, como aquí ocurre, en donde se ha mantenido el relato fáctico de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aduce en su demanda de amparo que se ha vulnerado su derecho a un proceso con todas las garantías (art. 24.2 CE), por entender que había sido condenada en la segunda instancia sin respetar la garantía de inmediación y sin haber sido oída. En la demanda se justifica la especial trascendencia constitucional del recurso con fundamento en que, de conformidad con lo expuesto en el apartado f) del fundamento jurídico 2 de la STC 155/2009, de 25 de junio, el órgano judicial ha incurrido en una negativa manifiesta del deber de acatamiento de la doctrina constitucional. Argumenta que las citan que se hacen en la resolución impugnada de la jurisprudencia constitucional no son aplicables al caso ya que no se trata de una cuestión de estricta calificación jurídica sino que se varían lo hechos probados y se valoran pruebas personales.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8 de mayo de 2013, acordó no admitir el recurso a trámite, con arreglo a lo previsto en el art. 50.1 b) de la Ley Orgánica del Tribunal Constitucional, dado que no apreciaba especial transcendencia constitucional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4 de junio de 2013, interpuso recurso de súplica contra dicha providencia, solicitando que fuera dejada sin efecto y se repusieran las actuaciones para que se decidiera nuevamente sobre la admisión de la demanda de amparo. El Ministerio Fiscal expone que la recurrente fundamenta la especial transcendencia constitucional del recurso en una supuesta negativa manifiesta del deber de acatamiento de la doctrina constitucional [STC 155/2009, FJ 2 f)] y que, efectivamente, no cabe apreciar dicha causa de la especial trascendencia por no concurrir una decisión consciente de incumplimiento deliberado, tal como exige la STC 133/2011. Sin embargo, somete a consideración del Tribunal la apreciación de otros factores de la especial trascendencia constitucional como es la incorrecta aplicación generalizada y reiterada de la doctrina constitucional [STC 155/2009, FJ 2 e)], que considera que se pone de manifiesto, por un lado, en el gran número de sentencias estimatorias de amparo a que ha dado lugar las condena en segunda instancia y, por otro, en que ya hay dos pronunciamientos previos de estimación de recursos de amparo en relación con este mismo órgano jurisdiccional (SSTC 177/2008 y 185/2005). Igualmente, afirma que, en el nuevo marco de la jurisprudencia constitucional establecido por la STC 88/2013, referido al derecho de audiencia del acusado, también la demanda adquiriría especial transcendencia constitucional al permitir al Tribunal Constitucional consolidar y profundizar en esa exigencia, máxime en un supuesto que afecta a al alcance de la revisión en casos de discrepancia sobre el elemento subjetivo del injusto.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Sección Primera de este Tribunal, por diligencia de ordenación de 5 de junio de 2013, acordó dar traslado del recurso de súplica para alegaciones a la demandante, quien por escrito registrado el 12 de junio de 2013 se adhirió en todos sus términos a los argumentos esgrimidos en dicho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sustenta su recurso de súplica en que no cabe afirmar que el recurso carezca de especial trascendencia constitucional, ya que, si bien es cierto que no concurre la negativa manifiesta al deber de acatamiento de la jurisprudencia constitucional alegada por la recurrente en su demanda de amparo, sí que cabe apreciar una incorrecta aplicación generalizada y reiterada de la doctrina constitucional, que se pondría de manifiesto por (i) el alto número de sentencias estimatorias dictadas por el Tribunal Constitucional sobre el particular y (ii) que este mismo órgano judicial ya ha visto desautorizado su proceder en las SSTC 185/2005 y 177/2008. Igualmente, pone de manifiesto que el recurso permitiría consolidar y perfilar (i) la exigencia de audiencia al acusado en estos casos que ha sido establecida en la STC 88/2013, de 11 de abril, y (ii) los supuestos que afectan al alcance de la revisión cuando la discrepancia se produce sobre el elemento subjetivo del injusto.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reiterado que en esta fase de admisión le corresponde apreciar en cada caso la existencia o inexistencia de esa “especial trascendencia constitucional”, esto es, si el contenido del recurso justifica una decisión sobre el fondo, atendiendo, conforme al art. 50.1 b) de la Ley Orgánica del Tribunal Constitucional, a su importancia para la interpretación de la Constitución, para su aplicación o para su general eficacia y para la determinación del contenido y alcance de los derechos fundamentales (entre las últimas, STC 167/2014, de 22 de octubre de 2014). Esta exigencia, por otra parte, ha sido considerada por el Tribunal Europeo de Derechos Humanos como respetuosa con las garantías del art. 6.1 del Convenio europeo para la protección de los derechos humanos y de las libertades fundamentales (STEDH de 20 de enero de 2015, caso Arribas Anton contra España, §§ 50-52).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esa potestad, este Tribunal, al acordar la inadmisión del presente recurso por falta de especial trascendencia constitucional, ya ponderó la concurrencia de ese requisito de admisibilidad no solo desde la perspectiva alegada por el recurrente de una eventual negativa manifiesta del deber de acatamiento a la jurisprudencia constitucional que, como afirma el Ministerio Fiscal, no cabe apreciarla en este caso, sino también desde el resto de los supuesto destacados en la STC 155/2009, de 25 de junio, FJ 2. Con motivo del recurso de súplica interpuesto por el Ministerio Fiscal, y atendiendo a las concretas causas que alega, este Tribunal debe ahora confirmar su inicial apreciación de que el presente recurso no cuenta con la necesaria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que el presente recurso permitiría consolidar y perfilar la exigencia de audiencia al acusado y las posibilidades de revocación inaudita parte en caso de controversia sobre el elemento subjetivo del delito, hay que afirmar que la jurisprudencia sobre esta exigencia de audiencia, como bien se resume en la citada STC 88/2013, tiene su origen en la STC 184/2009, habiendo sido después aplicada y concretada en numerosas resoluciones (SSTC 45/2011, de 11 de abril, 142/2011, de 26 de septiembre, 153/2011, de 17 de octubre, o 126/2012, de 18 de junio), representado la STC 88/2013 una compilación de pronunciamiento, que tiene su continuidad en las SSTC 157/2013, de 23 de septiembre, y 205/2013, de 5 de diciembre. Por otra parte, también puede verificarse que ya la mayoría de estos pronunciamientos, a coincidencia con el presente, se referían a supuestos en que la cuestión controvertida era, precisamente, la subsunción de un elemento subjetivo del delito (así, SSTC 142/2011, 153/2011, 126/2011, o 88/2013). Por tanto, ante esta proliferación de pronunciamientos no cabe apreciar la necesidad de la admisión de nuevos asuntos con la finalidad de concretar o perfilar una jurisprudencia que ya está consolidada.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tampoco cabe apreciar la alegada inaplicación generalizada y reiterada de esta doctrina constitucional, vinculada al alto número de sentencias estimatorias dictadas por el Tribunal Constitucional sobre el particular o a la circunstancia de que el órgano judicial que dictó la resolución recurrida en el presente recurso de amparo ya ha visto desautorizado su proceder en las SSTC 185/2005 y 177/2008. Este Tribunal desde la inicial STC 167/2002, de 18 de septiembre, ha resuelto un buen número de asuntos para afrontar una cuestión que por su confusa regulación legal había dado lugar a una alta litigiosidad en la jurisdicción de amparo. Ahora bien, desde aquel pronunciamiento no cabe considerar acreditado que, a pesar de que no ha existido ninguna intervención del legislador, no haya existido una modificación general de las prácticas de los órganos judiciales para adecuar su actuación a esta jurisprudencia constitucional en los términos establecidos en el art. 5.1 de la Ley Orgánica del Poder Judicial. De hecho, y por lo que se refiere, al concreto órgano judicial cuya resolución se impugna en el presente recurso de amparo, si bien es cierto lo señalado por el Ministerio Fiscal respecto de las anulación de sus resoluciones en las SSTC 185/2005 y 177/2008, en momentos de consolidación de esta jurisprudencia, también cabe destacar que en la STC 153/2011, de 17 de octubre, se confirmó otra de sus resoluciones.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8 de mayo de 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