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16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3626/2012, promovido por doña María Pilar Horcajada de Lamo representada por la Procuradora de los Tribunales doña Delia Villalonga Vicens y asistida por el Letrado don Luis Amat Navarro, contra Auto de 15 de marzo de 2012 de la Sección Primera de la Sala de lo Contencioso-administrativo del Tribunal Supremo, que inadmite el recurso de casación intentado frente a Sentencia de 14 de julio de 2011 de la Audiencia Nacional; asimismo se impugna la Providencia de 29 de mayo de 2012, por la que se inadmite el incidente de nulidad planteado frente al Auto antes citado. Ha intervenido el Ministerio Fiscal; ha comparecido el Abogado del Estado. Ha sido Ponente el Magistrado don Luis Ignacio Ortega Álvarez,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junio de 2012, la demandante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14 de Julio de 2011, la Sala de lo Contencioso-Administrativo, Sección Tercera, de la Audiencia Nacional, dictó Sentencia en el recurso núm. 265-2012, desestimando el recurso contencioso-administrativo interpuesto por la recurrente contra la desestimación presunta de una reclamación de responsabilidad patrimonial del Estado por funcionamiento anormal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fue objeto de recurso de casación, que fue inadmitido por Auto del Tribunal Supremo, Sala Tercera, Sección Primera, de fecha 15 de marzo de 2012, en el recurso núm. 4727-2011. Razona que no se admite por no cumplirse los requisitos exigibles en los arts. 89.2 y 93.2 a) de la Ley Jurisdiccional. Interpuesto incidente de nulidad de actuaciones previsto en el art. 241 de la Ley Orgánica del Poder Judicial, fue rechazado mediante providencia de 29 de mayo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alega que se ha vulnerado el derecho fundamental a la tutela judicial efectiva del art. 24.1 CE, en su vertiente de derecho de acceso a la justicia, causante de indefensión, al vulnerar lo dispuesto en el art. 94.1 de la Ley reguladora de la jurisdicción contencioso-administrativa (LJCA), toda vez que se funda la inadmisión del recurso de casación en que el escrito de preparación del recurso no se hace expresión de las concretas infracciones normativas o jurisprudenciales aplicables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parte recurrente que es evidente que el art. 89.1 LJCA no exige la expresión de las concretas infracciones normativas o jurisprudenciales en el escrito de preparación del recurso, sino una “sucinta exposición de la concurrencia de los requisitos de forma exigidos”. Mientras que el art. 89.2 LJCA nos remite a los supuestos de Sentencias dictadas únicamente por los Tribunales Superiores de Justicia, en los que sí habrá de justificarse además de la concurrencia de los requisitos de forma exigidos la infracción normativa o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resolución impugnada en amparo vulnera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Auto de 8 de mayo de 2013, se tuvo por abstenido al Magistrado don Juan José Gonzáles Rivas. La Sala Primera del Tribunal Constitucional acordó por providencia de 3 de junio de 2013, la admisión a trámite del recurso de amparo y, de conformidad con el art. 51 de la Ley Orgánica del Tribunal Constitucional (LOTC), requerir atentamente a la Sala de lo Contencioso-Administrativo del Tribunal Supremo para que remitiera testimonio del recurso de casación núm. 4727-2011; asimismo, se acordó requerir a la Sección Tercera de la Sala de lo Contencioso-Administrativo de la Audiencia Nacional para que remitiera testimonio del procedimiento núm. 265-2010 y para que emplazara a quienes fueron parte en dicho procedimiento, con excepción de la parte recurrente en amparo, ya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12 de julio de 2013, se tuvieron por recibidas las actuaciones judiciales requeridas y se acordó un plazo común de veinte días para que las partes pudieran alegar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presentó sus alegaciones el 11 de septiembre de 2013, solicitando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en este asunto el Auto impugnado del Tribunal Supremo de 15 de marzo de 2012, inadmite la casación de la actora dando aplicación a la doctrina elaborada por el propio Tribunal Supremo en el Auto de 10 de febrero de 2011, si bien este último no es mencionado en la demanda de amparo. Asimismo debe tenerse en cuenta que el recurso de casación se preparó con posterioridad a la fecha del citado Auto de 10 de febrero de 2011, pues la Sentencia de la Audiencia Nacional, recurrida, es de fecha 14 de julio de 2011. Por ello, constata en cuanto al recurso de casación interpuesto por la recurrente que solicita amparo, no ha habido por parte del Tribunal Supremo aplicación retroactiva de las nuevas exigencias jurisprudenciales sobre la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considera que, a la luz de la doctrina constitucional, el Auto recurrido no viola el derecho de acceso a los recursos garantizado por el art. 24.1 CE. La doctrina constitucional sobre las inadmisiones de recursos de casación en lo contencioso-administrativo por defectos insubsanables del escrito de preparación está compendiada en la STC 230/2001, de 26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en una visión realista, los “requisitos de forma” del escrito de preparación son los que claramente figuran en la ley, pero no necesariamente sólo y exclusivamente ellos, sino los que el Tribunal de casación pueda añadir al interpretar y aplicar la ley procesal sin desbordar los límites constitucionales, lo que equivale a decir sin arbitrariedad o irrazonabilidad. La exigencia jurisprudencial contenida en el Auto del Tribunal Supremo de 10 de febrero de 2011, cuya doctrina sirve de base al Auto ahora impugnado, es ciertamente discutible en el plano de la mera o simple legalidad, y ha sido objeto de críticas doctrinales nada infundadas, pero no por ello adquiere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estima la representación procesal del Estado, que en el presente caso el derecho fundamental de acceso al recurso no se ha visto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sus alegaciones el 19 de septiembre de 2013, solicitando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Ministerio Fiscal analizando la doctrina del Tribunal Supremo sobre los requisitos que debe cumplir el escrito de preparación del recurso de casación. Dadas las fechas del Auto impugnado y el Auto de 10 de febrero de 2011, a través del cual el Tribunal Supremo matizó su doctrina sobre la preparación del recurso de casación, señala que el problema no consiste en determinar si el cambio de criterio jurisprudencia operado por tal Auto ha resultado vulnerador del derecho a la tutela judicial efectiva (art. 24.1 CE) de la parte demandante de amparo, sino si el concreto Auto de inadmisión aquí impugnado o, más específicamente, su concreta motivación, ha producido a dicha parte esa lesión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sobre el derecho de acceso a los recursos, en cuanto manifestación del derecho a la tutela judicial efectiva, art. 24.1 CE, considera que tal derecho no ha sido vulnerado en el caso de la demandante de amparo. En efecto: i) el canon del error patente ha de quedar descartado de antemano, pues no se está discutiendo sobre una cuestión fáctica; y ii) del mismo modo ha de descartarse que la resolución judicial principalmente impugnada —el Auto de inadmisión del recurso de casación— incurra en arbitrariedad ni que sea irrazonable, pues es evidente que la decisión de la Sección Primera de la Sala de lo Contencioso-Administrativo del Tribunal Supremo no es “una simple expresión de la voluntad”, sin motivación o fundamento alguno (STC 164/2002, de 17 de septiembre, FJ 4), ni presenta “quiebras lógicas de tal magnitud que las conclusiones alcanzadas no puedan considerarse basadas en ninguna de las razones aducidas” (SSTC 151/2001, de 2 de julio, FJ 5; 164/2002, de 17 de septiembre, FJ 4), ni expresa un razonamiento jurídico que objetivamente no pueda resultar comprensible a “cualquier observador” (STC 222/2003, de 15 de diciembre, FJ 5). Y es que, por discutible que pueda parecer la argumentación que ha conducido a la inadmisión del recurso de casación entablado por la representación procesal de doña María del Pilar Horcajada de Lamo, el hecho cierto es que el Auto dictado por la Sección Primera de la Sala de lo Contencioso-Administrativo del Tribunal Supremo en el recurso de casación número 4727-2011, con fecha 15 de marzo de 2012, por el que se inadmitió el recurso de casación entablado contra la Sentencia dictada por la Sección Tercera de la Sala de lo Contencioso-Administrativo de la Audiencia Nacional, constituye una resolución debidamente motivada y que esa motivación no está incursa ni en error patente, ni en irrazonabilidad, ni en arbitrariedad, sin que sea factible aquí comparar esa su motivación con otras posibles motivaciones recaídas en otras resoluciones de igual naturaleza porque ello no es propio del juicio que ahora ha de hacerse, sino del juicio de igualdad, juicio este último que no ha sido propuesto en esta vía de amparo por la representación procesal de doña María del Pilar Horcajada de Lamo.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marzo 2015 se señaló para la deliberación y votación de la presente Sentencia el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demandante de amparo impugna el Auto de la Sección Primera de la Sala de lo Contencioso-Administrativo del Tribunal Supremo de 15 de marzo de 2012, que acordó no admitir a trámite el recurso de casación interpuesto contra la Sentencia de la Sala de lo Contencioso-Administrativo de la Audiencia Nacional de 14 de julio de 2011, recaída en el procedimiento ordinario núm. 265-2012. También impugna la providencia mediante la que se inadmitió a trámite el incidente de nulidad de actuaciones promovido contra el Auto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según se expresa con más detalle en los antecedentes de hecho de esta resolución, imputa a las resoluciones recurridas la vulneración de su derecho a la tutela judicial efectiva (art. 24.1 CE), en su vertiente de acceso a los recursos, porque el Auto impugnado se funda en un requisito de admisibilidad no exigido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planteado en la demanda de amparo ha sido ya abordado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1997, caso Brualla Gómez de la Torre c. España; y de 25 enero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mayo 2000; Llopis Ruiz c. España, de 7 noviembre 2003; e Ipamark c. España,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consideración a lo argumentado,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María Pilar Horcajada de Lamo.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