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18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1873-2013, interpuesto por el Gobierno de Cataluña contra el art. 19 de la Ley 16/2012, de 27 de diciembre, por la que se adoptan diversas medidas tributarias dirigidas a la consolidación de las finanzas públicas y al impulso de la actividad económica. Han intervenido y formulado alegaciones el Abogado del Estado y el Senado.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marzo de 2013 tuvo entrada en el Registro General de este Tribunal Constitucional un escrito de la Abogada de la Generalitat de Cataluña, en representación del Gobierno de esta Comunidad Autónoma, por el que interpone un recurso de inconstitucionalidad contra el art. 19 de la Ley 16/2012, de 27 de diciembre, por la que se adoptan diversas medidas tributarias dirigidas a la consolidación de las finanzas públicas y al impulso de la actividad económica, precepto que establece el impuesto sobre los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comienza con una descripción de las circunstancias que rodearon la aprobación de la Ley 16/2012, cuyo artículo 19 se impugna. Se hace hincapié en la vinculación entre la creación de este tributo estatal y la doctrina sentada por la STC 210/2012, de 14 noviembre, en la que se había declarado la constitucionalidad de la Ley de la Asamblea de Extremadura 14/2001, de 29 noviembre, que establecía un impuesto similar sobre depósitos bancarios. La doctrina contenida en esa Sentencia despejaba las dudas suscitadas diez años atrás por la aprobación de la Ley extremeña, dejando vía libre a las Comunidades Autónomas para mantener, como era el caso de Extremadura, Andalucía y Canarias, o para crear, como ha sido el caso de Cataluña y Asturias, un impuesto autonómico sobre los depósitos bancarios. Precisamente con base en el aval otorgado por la citada Sentencia, el Gobierno de la Generalitat de Cataluña resolvió aprobar el Decreto-ley 5/2012, de 18 diciembre, del impuesto de depósitos en las entidades de crédito. Análogamente, la Ley del Principado de Asturias 3/2012, de 28 diciembre, de presupuestos para el año 2013, estableció en su artículo 41 otro impuesto sobre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citada STC 210/2012 desencadenó una sorprendente reacción en las instancias estatales, ya que con la pretensión de impedir la proliferación de este tipo de tributos, se estableció una extravagante figura sin efectividad tributaria, puesto que se fijó un tipo de gravamen del 0 por 100, y se aprobó por un procedimiento legislativo manifiestamente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primer motivo de inconstitucionalidad, expone que la creación de esta figura tributaria no estaba en el proyecto de ley presentado en el Congreso de los Diputados el 28 septiembre 2012, de manera que fue una vez enviado el texto aprobado al Senado, el 4 diciembre, cuando se publicaron las enmiendas entre las que se encontraban las presentadas por el Grupo Parlamentario Popular en el Senado y que introdujeron el citado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en estos términos la tramitación legislativa, afirma, en primer lugar, que el art. 19 de la ley 16/2012 es inconstitucional por haberse infringido en su tramitación y aprobación el procedimiento legislativo, ya que la figura tributaria se introdujo en el proyecto mediante una enmienda formulada en el Senado que no guardaba conexión con las materias contenidas en el proyecto de ley aprobado por el Congreso de los Diputados. Se cita en apoyo de este motivo la doctrina contenida en las SSTC 119/2011, de 5 julio, FJ 6, y 136/2011, de 13 septiembre, FJ 7, de la que deriva la exigencia general de conexión u homogeneidad entre las enmiendas y los textos a enmendar, que a su vez es consecuencia del carácter subsidiario que, por su propia naturaleza, tiene toda enmienda en relación con el texto enmendado. Ello es así porque la enmienda conceptualmente implica la modificación de algo preexistente, cuyo objeto y naturaleza ha sido determinado con anterioridad, de forma que “no puede servir de mecanismo para dar vida a una realidad nueva, que debe nacer de una, también nueva iniciativa”. En concreto sobre la introducción de enmiendas en el Senado, el Tribunal ha confirmado que esta Cámara es de segunda lectura, deduciéndose de los arts. 88 a 91 CE la intención del constituyente de que la aprobación de los textos legislativos se produzca siempre, en primer lugar, en el Congreso de los Diputados, limitándose la facultad de enmienda del Senado a aquellas que guarden una mínima relación de homogeneidad material con los proyectos de ley remitidos por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anterior doctrina conduce necesariamente a la inconstitucionalidad de la norma recurrida, toda vez que las medidas fiscales incluidas en el citado proyecto de ley número 121-000026 se referían a los impuestos sobre la renta de las personas físicas, sociedades, patrimonio y valor añadido, y a los tributos locales sobre bienes inmuebles y sobre actividades económicas, sin que hubiera en dicho proyecto de ley ninguna alusión al impuesto sobre depósitos bancarios, como tampoco la había en el proyecto de ley aprobado por el Congreso de los Diputados. En consecuencia, la introducción en el Senado de la enmienda de adición número 169 por la que se incorporó al proyecto de ley el capítulo II, artículo 19, regulador del referido impuesto, se hizo sin conexión material alguna entre la materia sobre la que versaba la enmienda y las que se contenían en el proyecto de ley que había sido ya aprobado por el Congreso de los Diputados, sin que tal ausencia de conexión pueda salvarse afirmando que el impuesto sobre depósitos bancarios constituye una medida tributaria semejante a la restantes, ya que dicho tributo no tenía ánimo recaudatorio, toda vez que se fijó un tipo de gravamen del 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artículo 19 supondría un ejercicio fraudulento de la potestad tributaria y en consecuencia una lesión directa de las competencias financieras autonómicas, con infracción de los principios de lealtad constitucional y de interdicción de la arbitrariedad de los poderes públicos (art. 9.3 CE). El tributo aprobado, con un tipo de gravamen del 0 por 100, tiene como única finalidad impedir la efectividad de los impuestos autonómicos similares ya existentes o que pudieran crearse en un futuro. Se trata además de una mera apariencia de tributo, ya que no se establece ninguna obligación de pago, a través de la cual el Estado ha tratado de activar la prohibición de doble imposición autonómica prevista en el art. 6.2 de la Ley Orgánica de financiación de las Comunidades Autónomas (LOFCA), impidiendo de forma ilegítima el ejercicio de la competencia de las Comunidades Autónomas para la creación de tributos (arts. 133.2 CE y 203.5 del Estatuto de Autonomía de Cataluña) y vulnerando su autonomía financiera [arts. 156.1 y 157.1 b)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ha ejercido así sus propias competencias de forma abusiva, de naturaleza similar al abuso de derecho prescrito por el art. 7 del Código civil y a la desviación de poder en el ejercicio de las competencias a que se refiere el art. 63 de la Ley 30/1992, de 26 noviembre, del régimen jurídico de las Administraciones públicas y del procedimiento administrativo común. Cita en su apoyo la doctrina constitucional contenida, entre otras, en la STC 13/2007, de 18 enero, FFJJ 8 y 9, de acuerdo con la cual no se permiten las interferencias en el ejercicio legítimo de las competencias de los otros entes territoriales, citándose también la STC 123/2012, de 5 junio, en cuyo fundamento jurídico 8 este Tribunal ha recordado que el principio de lealtad resulta esencial en las relaciones entre las diversas instancias del poder territorial, teniendo además una específica proyección en materia financiera (con cita de la STC 109/2011, de 22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estatal del impuesto, con la mera voluntad de impedir el ejercicio de las competencias autonómicas, carece además de toda racionalidad, lo que supone un ejercicio arbitrario del poder normativo del Estado. Se refiere a continuación al principio de interdicción de la arbitrariedad de los poderes públicos que consagra el art. 9.3 CE, precepto que también habría sido infringido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afirma específicamente la inconstitucionalidad del apartado 13 del art. 19 de la Ley 16/2012, que limitaría indebidamente la aplicación de las medidas de coordinación o compensación que contempla el art. 6.2 LOFCA. Se insiste en este punto en que, caso de no admitir los anteriores argumentos de inconstitucionalidad, es claro que la Comunidad Autónoma de Cataluña tenía derecho a que se le aplicaran dichas medidas para contrarrestar la pérdida de ingresos consecuencia del establecimiento del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en concreto la limitación de las medidas compensatorias que establece el párrafo segundo del artículo 19.13 impugnado contradice lo establecido en 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otra perspectiva, ese mismo párrafo supone retrotraer los efectos de la creación del impuesto sobre los depósitos en las entidades de crédito estatal a los impuestos autonómicos preexistentes al 1 de diciembre de 2012, fecha anterior a su entrada en vigor, lo que vulnera el art. 9.3 CE, que proscribe la retroactividad de las normas desfavorables.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abril de 2013, el Pleno del Tribunal Constitucional, a propuesta de la Sección Segunda, acordó admitir a trámite el recurso de inconstitucionalidad,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Asimismo, se ordenó publicar la incoación del recurso en el “Boletín Oficial del Estado”, lo que se llevó a efecto en el número 114, de 13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10 de mayo de 2013 se registró el escrito del Abogado del Estado por el que se solicita se le tenga por personado, en la representación que legalmente ostenta, así como que se le conceda una prórroga por el máximo legal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mediante providencia de 13 de mayo de 2013, acuerda incorporar a las actuaciones el escrito del Abogado del Estado, teniéndosele por personado en el presente proceso, así como conceder la prórroga solicitada, ampliando en ocho días más el plazo establecido en la anterior providencia de 23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con fecha de 16 de mayo de 2013, el Presidente del Senado comunicó el acuerdo de la Mesa de la Cámara por el que se persona en el procedimiento y comparece a los solos efectos de formular alegaciones en relación con los vicios del procedimiento legislativo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17 de mayo de 2013 se registró el escrito del Presidente del Congreso de los Diputados comunicando el acuerdo de la Mesa de la Cámara por el que ésta se persona en el procedimiento y da por ofrecida su colaboración a los efectos del art. 88.1 LOTC, remitiendo asimismo el recurso a la Dirección de Estudios, Análisis y Publicaciones y a la Asesoría Jurídica de la Secretaría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27 mayo 2013 tuvo entrada en el Registro General de este Tribunal el escrito del Letrado de las Cortes Generales y jefe de la Asesoría Jurídica del Senado, en nombre y representación de dicha Cámara, por el que formula alegaciones únicamente en relación con los vicios de procedimiento legislativo que se alegan. Se refiere así tan sólo al motivo relativo a la falta de congruencia material en las enmiendas presentadas y aprobadas por el Senado, que según la demanda fundamentarían la inconstitucionalidad del art. 19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brevemente los términos de la impugnación, afirma que la recurrente carece de legitimación activa para plantear esta objeción, toda vez que la doctrina del Tribunal Constitucional sobre la conexión debida entre las enmiendas presentadas y el ámbito material de los proyectos de ley se basa en el derecho de participación política de los representantes, derechos que sufrirían si se admitiesen enmiendas con exceso material. Tras citar la doctrina contenida en las SSTC 119/2011, de 5 julio; 136/2011, de 13 septiembre; 204/2011, de 15 diciembre, y 209/2012 de 14 noviembre, concluye que los vicios de procedimiento sólo pueden tener relevancia constitucional cuando lesionen derechos de participación política, lo que sólo puede darse cuando se trate de miembros del órgano legislativo que tramita la ley en cuestión. En consecuencia y al carecer el recurrente de esa condición, no puede invocar en este caso su derecho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afirma que en todo caso se producía en este supuesto la homogeneidad material entre la enmienda originaria del artículo 19 del proyecto y el ámbito material de dicho proyecto. Teniendo en cuenta así la doctrina de las citadas SSTC 119/2011 y 136/2011, expone que el objeto del proyecto era la adopción de diversas medidas tributarias, siendo la enmienda precisamente relativa a la introducción de un nuevo tributo, por lo que con aplicación de la doctrina contenida en el fundamento jurídico 4 de la STC 209/2012, de 14 noviembre, no puede negarse dicha falta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en la misma STC 119/2011, de 5 julio, se declaró que el órgano al que reglamentariamente corresponda efectuar ese análisis contará con un amplio margen de valoración. En este caso, los órganos del Senado encargados de la calificación material de las enmiendas, el Presidente y la Mesa, han actuado con todo rigor.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que desde la STC 119/2011, de 5 julio, y precisamente para garantizar el cumplimiento de la doctrina allí recogida, el Senado ha configurado un procedimiento específico, que se acompaña en un documento anexo al escrito de alegaciones, por el cual la Mesa del Senado delega en el Presidente la calificación material de las enmiendas, sin perjuicio de que sus acuerdos puedan someterse a la reconsideración de la Mesa en virtud del artículo 36, apartado 2, del Reglamento del Senado. Todas las enmiendas presentadas son, por tanto, revisadas por los letrados correspondientes, que advierten sobre sus posibles excesos respecto al ámbito material del proyecto. En consecuencia, si la enmienda número 169 del Grupo Popular, que fue la que dio lugar a que se añadiera el artículo 19 controvertido, fue admitida a trámite, lo fue tras un examen de mínima compatibilidad, añadiendo en todo caso que ningún senador o grupo parlamentario suscitó la cuestión de que las enmiendas carecían de congruencia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considera que es claro no sólo que el recurrente carece de legitimación procesal, sino que tampoco se ha cometido ningún vicio formal o de procedimiento debido a la falta de congruencia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junio de 2013 tiene entrada en este Tribunal el escrito del Abogado del Estado, por el que se solicita la desestimación del mismo a partir de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inicia el escrito con la descripción de los elementos esenciales del impuesto sobre depósitos en las entidades de crédito creado por el art. 19 de la Ley 16/2012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sucinta exposición, se refiere el escrito a la relación que el presente asunto tiene con los recursos de inconstitucionalidad interpuestos por el Presidente del Gobierno contra el Decreto-ley de Cataluña 5/2012, de 18 diciembre, recurso registrado con el número 7279-2012 en este Tribunal; así como con el recurso interpuesto contra el artículo 41 y la disposición final séptima de la Ley del Principado de Asturias 3/2012, de 28 diciembre, de presupuestos generales para 2013, registrado con el número 631-2013 en este mismo Tribunal. Añade que, además, el presente proceso guarda relación directa con los recursos 1873-2013 y 1881-2013 interpuestos, respectivamente, por el Gobierno de Cataluña y el Consejo de Gobierno del Principado de Asturias, contra el mismo art. 19 de la Ley 16/2012 que aquí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examinan a continuación los tres motivos de inconstitucionalidad que se alegan en relación al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posible infracción de las normas de tramitación parlamentaria, comienza recordando la doctrina citada en las SSTC 119/2011, de 5 julio, y 136/2011, de 13 septiembre, así como la posterior 209/2012, de 14 noviembre [FJ 4 b)], cuya aplicación al caso que aquí se plantea permite descartar la inconstitucionalidad pretendida por este motivo. Destaca que la Ley 16/2012 es una ley tributaria de contenido heterogéneo, que se refería a distintas normas tributarias, de manera que era en realidad una norma tributaria de carácter transversal que modificaba la práctica totalidad de figuras principales del sistema tributario. No puede así afirmarse que exista una absoluta desconexión entre la regulación de un impuesto nuevo con el contenido del proyecto inicial, sin perjuicio de que el impuesto sobre los depósitos en las entidades de crédito guarda conexión con el impuesto sobre el valor añadido, como ya estableció la STC 210/2012, de 14 noviembre. Añade que, para que una enmienda pueda entenderse conexa con el texto enmendado, basta una mínima relación material, de forma que “sólo cuando sea evidente y manifiesto que no existe tal conexión deberá rechazarse la enmienda”. La alegación de la demanda carece por tanto de todo fundamento, toda vez que no puede afirmarse que existiera una evidente y manifiestan desconexión entre el contenido del proyecto y la citada enmienda, sin perjuicio de que tal principio no puede suponer que el procedimiento legislativo se vea atrapado en unas reglas tan rígidas que hagan del debate parlamentario un procedimiento completamente reglado. Y añade, en fin, que durante la tramitación parlamentaria, diputados y senadores eran conscientes de que se discutía un texto que pretendía modificar las principales figuras del sistema tributario español, sin que en consecuencia la enmienda aprobada en el Senado planteara “una problemática política por completo ajena a la que hasta el momento había rodeado” el texto original (SSTC 119/2011, FJ 9, y 136/2011,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a continuación a la tacha de infracción de los principios de lealtad constitucional y de interdicción de la arbitrariedad, así como al pretendido ejercicio fraudulento de la potestad tributaria originaria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para empezar, se refiere el escrito a la potestad tributaria originaria del Estado, tal y como ha sido interpretada en general por la doctrina de este Tribunal (STC 100/2012, de 8 de mayo, FJ 7 entre otras), y, concretamente, por la STC 210/2012, de 14 noviembre, que efectivamente declaró la compatibilidad del impuesto sobre los depósitos en las entidades de crédito extremeño con las figuras tributarias estatales existentes al tiempo de dictarse aquella Sentencia, pero que no restringe a futuro la potestad tributaria originaria que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Recalca que la citada STC 210/2012 no impide que el Estado ejerza su potestad tributaria creando un impuesto similar, sino que simplemente su establecimiento le impone instrumentar las medidas de compensación o coordinación adecuadas de las Comunidades Autónomas que vean disminuidos efectivamente sus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cita la doctrina constitucional sobre la arbitrariedad del legislador, detallando la contenida en la STC 238/2012, de 13 diciembre, FJ 6 b), en la que el Tribunal insiste en el cuidado que se ha de tener cuando se trata de aplicar preceptos generales e indeterminados como sucede con la interdicción de la arbitrariedad, sin que el simple disenso de los recurrentes permita hablar de arbitrariedad, ya que no debe confundirse lo que es arbitrio legítimo con capricho, inconsecuencia o incoherencia.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centra la cuestión en sí el art. 19 de la Ley 16/2012 “carece de toda justificación” y responde al simple “capricho, inconsistencia o incoherencia”; o más bien obedece a la razonable consecución de un fin constitucionalmente amparado.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y tras recordar la extensa doctrina acerca de los posibles fines extrafiscales de los tributos, hace hincapié en que de la demanda parece deducir de la doctrina de este Tribunal la inconstitucionalidad de los impuestos de tipo cero, cuando lo cierto es que tal consecuencia no puede derivarse de ningún precepto constitucional. En este punto, se recuerda que cuando el Tribunal se ha referido a la necesaria finalidad fiscal de todo impuesto, lo ha hecho únicamente para recordar que el artículo 31 de la Constitución, en su vertiente del principio de capacidad económica, exige que todo tributo este anudado a una manifestación de riqueza, de modo que sin ésta no pueda existir aquél. Ahora bien, la Constitución no impide que transitoriamente, y precisamente en atención a otros fines constitucionalmente legítimos, se pueda configurar un tributo cuyo hecho imponible sea una manifestación de riqueza, con un tipo cero de gravamen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Describe a continuación el impuesto sobre los depósitos en las entidades de crédito, que se configura como un auténtico impuesto, si bien por razones de política económica se configura temporalmente con tipo de gravamen cero. Esta posibilidad de hecho está expresamente prevista en el artículo 55 de la Ley general tributaria, existiendo tributos con tipo cero en nuestro ordenamiento, como sucede con el impuesto especial sobre el vino y bebidas fermentadas regulado en los artículos 27 y siguientes de la Ley 38/1992, de 28 diciembre, de impuestos especiales, cuyo artículo 30 establece un gravamen 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existen razones de política económica que justificaron el establecimiento inicial de un tipo cero en el art. 19 de la Ley 16/2012, cuya finalidad declarada en el preámbulo es asegurar un tratamiento fiscal armonizado que garantice una mayor eficiencia en el funcionamiento del sistema financiero. Se refiere en este punto el alegato a la gravedad de la crisis financiera, recogiendo algunas afirmaciones del informe anual del Banco de España de 2008 en las que se aprecia la singular gravedad esta crisis, que probablemente sólo encuentre parangón con la crisis de 1929. Se refiere asimismo a los informes de 2009 y 2011 de la misma entidad. En relación en concreto con la situación de las entidades de depósito españolas, se cita el informe de estabilidad financiera del Banco de España de noviembre 2012, destacando de forma pormenorizada las tensiones financieras en el área del euro, los problemas de financiación de las entidades bancarias, al no poder acceder con facilidad a los mercados mayoristas de financiación, y la bajada de la rentabilidad de las entidades de depósito. Así descritas, y dado su agravamiento, como destaca el “Boletín económico del Banco de España” de marzo 2013, no puede desconocerse la grave incidencia que un impuesto sobre los depósitos en las entidades de crédito como el establecido por Extremadura, Andalucía, Canarias, Cataluña y Asturias ocasiona en un sector financiero ya gravemente deteriorado por la crisis. A partir de lo anterior, expone detalladamente los desequilibrios del sistema financiero que afectan, de un lado, al sector de las entidades de depósito y su reestructuración; y, de otro lado, al acceso al crédito de las empresas economías domésticas y, por tanto, en definitiva, al propio crecimiento económico. Se refiere además a los datos aportados por la asociación española de la banca en relación con el coste para el conjunto del sector de las entidades de crédito que supondría la extensión de un impuesto con la configuración del autonómico, establecido por Cataluña, al conjunto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el art. 19 de la Ley 16/2012 se incardina no sólo en la competencia contenida en el art. 149.1.14 CE, sino también en el título contenido en el ordinal 13 del mismo art. 149.1 CE. Se insiste en este punto en que, además de la finalidad fiscal, la norma tiene un claro fin extrafiscal, constitucionalmente legítimo y estrechamente vinculado con la grave situación de crisis financiera que afecta a las entidades de depósito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finalidad del impuesto sobre los depósitos en las entidades de crédito estatal de asegurar un tratamiento fiscal armonizado debe enmarcarse en el ámbito de la carta de emplazamiento que el 27 febrero 2012 la Comisión Europea remitió al Ministro de Asuntos Exteriores sobre la posible incompatibilidad con los artículos 49 (derecho de establecimiento), 56 (libre circulación de servicios) y 63 (libre circulación de capitales) del Tratado de funcionamiento de la Unión Europea de ciertas disposiciones de la legislación tributaria española referente al impuesto que se aplica a los bancos en algunas comuniones autónomas. La carta se refería en concreto a las ventajas fiscales de los impuestos extremeño y andaluz en función de la localización de la sede social y sucursales. En este sentido, la creación del impuesto sobre los depósitos en las entidades de crédito estatal debe enmarcarse también en la corriente actual en el seno de la Unión Europea en relación con el gravamen de determinadas operaciones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19.13 de la Ley 16/2012 no infringe el art. 6.2 LOFCA. Comienza en este punto por destacar que el art. 19.13 de la Ley 16/2012 tiene también la finalidad legítima de evitar que, durante la tramitación parlamentaria del impuesto estatal sobre los depósitos en las entidades de crédito, Comunidades Autónomas que hasta el momento no habían mostrado interés alguno en gravar ese hecho imponible, lo hicieran precipitadamente, adelantándose al legislador estatal, tal y como hizo Cataluña. En este punto, describe en detalle el proceso por el cual la Comunidad Autónoma de Cataluña estableció el impuesto sobre depósitos en entidades de crédito, y la públicamente denunciada finalidad de establecer tal impuesto para “blindar el espacio fiscal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insiste el escrito en que esta Comunidad Autónoma no ha perdido recaudación alguna a consecuencia del establecimiento del impuesto estatal, por lo que ni siquiera la limitación de la compensación le supone perjuicio alguno. En efecto, el periodo impositivo del impuesto sobre los depósitos en las entidades de crédito catalán coincide con el año natural, devengándose el impuesto el último día del periodo impositivo, por tanto el primer ingreso por el impuesto establecido no se realizaría hasta antes del 31 marzo 2013. Se refiere también a la tramitación legislativa para apuntalar su conclusión de que la creación del impuesto sobre los depósitos en las entidades de crédito fue oportunista, una vez que al menos desde el 29 noviembre 2012 era conocida la intención de crear un impuesto estatal sobre los depósitos en las entidades de crédito, citando asimismo las palabras del portavoz del gobierno de la Generalitat de Cataluña a tenor de los cuales la aprobación del Decreto-ley 5/2012 tenía como finalidad el “blindaje” del espacio fiscal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impuesto sobre los depósitos en las entidades de crédito catalán no cumplía en ningún supuesto los requisitos de la compensación del art. 6.2 LOFCA, ya que el tributo creado por esta Comunidad Autónoma no comenzaría a percibir los ingresos hasta finales de 2013, de manera que no habría pérdida recaudatoria estrictamente. Finaliza afirmando que, en todo caso, la aprobación in extremis de tributos autonómicos con la sola finalidad —expresamente declarada— de acceder a la compensación estatal resulta manifiestamente contraria al espíritu y a la letra del art. 6.2 LOFCA, lo que igualmente avala la constitucionalidad del art. 19.13, que precisamente intenta evitar este tipo de maniobras.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escritos presentados en el Registro General de este Tribunal en fechas 1 y 2 de agosto de 2013, el Parlamento y el Gobierno de la Generalitat de Cataluña formulan incidente de recusación del Presidente del Tribunal Constitucional en una serie de procesos, entre los que se incluye el presente recurso de inconstitucionalidad, por las causas 9 y 10 del art. 219 de la Ley Orgánica del Poder Judicial, en relación con el art. 80 LOTC. Por Auto del Tribunal de 17 de septiembre de 2013, se acuerda la inadmisión a trámite de las recusaciones promovidas, y, formulado recurso de súplica contra el anterior Auto por el Parlamento y la Generalitat de Cataluña, el Pleno, en providencia de 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marzo de 2015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el art. 19 de la Ley 16/2012, de 27 de diciembre, por la que se adoptan diversas medidas tributarias dirigidas a la consolidación de las finanzas públicas y al impulso de la actividad económica (en adelante, Ley 16/2012), que establece el “impuesto sobre los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interpuesta por la Abogada de la Generalitat de Cataluña, en representación del Gobierno de esta Comunidad Autónoma, se sustenta en tres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art. 19 de la Ley 16/2012 se reputa inconstitucional por haberse infringido en su tramitación y aprobación el procedimiento legislativo, ya que el precepto tiene su origen en dos enmiendas, (las número 166 y 169), introducidas durante la tramitación de la norma en el Senado (“Boletín Oficial de las Cortes Generales” núm. 130, de 4 de diciembre de 2012), que no guardaban conexión con las materias contenidas en el proyecto de ley aprobado por el Congreso de los Diputados, por la que se adoptan diversas medidas tributarias dirigidas a la consolidación de las finanzas públicas y al impulso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artículo 19 supondría un ejercicio fraudulento de la potestad tributaria con lesión directa de las competencias financieras autonómicas para la creación de tributos (arts. 133.2 CE y 203.5 del Estatuto de Autonomía de Cataluña), así como de la autonomía financiera [arts. 156.1 y 157.1 b) CE] de las Comunidades Autónomas, además de infringir los principios de lealtad constitucional y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alega la inconstitucionalidad del apartado 13 del art. 19 de la Ley 16/2012, que limitaría indebidamente la aplicación de las medidas de coordinación o compensación que contempla el art. 6.2 de la Ley Orgánica de financiación de las Comunidades Autónomas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controversia, debemos considerar la incidencia que pueda tener en este proceso la modificación del precepto que se impugna, el art. 19 de la Ley 16/2012, mediante el art. 124 del Real Decreto-ley 8/2014, de 4 de julio, de aprobación de medidas urgentes para el crecimiento, la competitividad y la eficiencia (Real Decreto-ley 8/2014, en adelante), y, posteriormente, mediante el art. 124 de la Ley 18/2014, de 15 de octubre,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acuerdo con nuestra consolidada doctrina, estas modificaciones no privan de objeto al presente recurso. De una parte, porque la controversia que se plantea tiene contenido competencial que no puede considerarse resuelto tras las modificaciones legislativas indicadas, como ya hemos precisado en la STC 26/2015, de 19 de febrero (FJ 3), con cita de las SSTC 134/2011, de 20 de julio, FJ 2 b), y 161/2012, de 20 de septiembre, FJ 2 b). Y, de otra, porque el primero de los motivos se refiere al procedimiento legislativo mismo, de manera que “la eventual derogación o modificación de alguna de las normas contenidas en esta disposición legal no incidiría en el control de los vicios de validez en que pudiera haberse incurrido al momento de su aprobación, con lo cual subsiste el interés constitucional de velar por el recto ejercicio de la potestad legislativa” (SSTC 136/2011, de 13 de septiembre, FJ 2, y 132/2013, de 5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recurso de inconstitucionalidad, cuyo objeto hemos recogido en los antecedentes y resumido en el fundamento primero, coincide parcialmente en su objeto con el promovido por el Parlamento de Cataluña, (núm. 1808-2013), contra el mismo art. 19 de la Ley 16/2012, resuelto por la STC 26/2015, de 19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 recurso se fundamentaba en tres motivos. En primer lugar, que el impuesto estatal sobre los depósitos en las entidades de crédito era una simulación de impuesto, sin encaje en el concepto de tributo del art. 31.1 CE, por lo que su establecimiento no podía ampararse en las competencias del Estado para crear tributos (arts. 133.1 y 149.1.14 CE). En segundo lugar, se alegaba que, si bien el Estado ostentaba la competencia para armonizar la imposición sobre los depósitos bancarios, ello debía hacerse mediante ley orgánica, ex art. 157.3 CE, por lo que el art. 19 de la Ley 16/2012 habría invadido el ámbito constitucionalmente reservado este tipo normativo. Por último, se imputaba al apartado 13 del artículo 19 una limitación indebida y, por ello inconstitucional, del alcance de la compensación en caso de ocupación de hechos, vulnerando así el art. 6.2 LOFCA y la autonomía financiera de las Comunidades Autónomas (art. 156.1 CE). Estos motivos son esencialmente coincidentes con los motivos segundo y tercero expresados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estas tachas hemos dado respuesta en nuestra STC 26/2015, 19 de febrero, en cuyos fundamentos jurídicos 4 a 6, que deben darse aquí por reproducidos, hemos descartado la inconstitucionalidad del citado art. 19 de la Ley 16/2012, por los motivos allí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que ahora debemos resolver se aduce sin embargo una tacha nueva, a la que por tanto deberá darse respuesta ahora. Como se ha hecho constar en los antecedentes, se aduce una posible infracción del procedimiento legislativo que condujo a la aprobación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alega que el establecimiento del impuesto estatal sobre depósitos en las entidades de crédito, no figuraba en el proyecto de ley presentado en el Congreso de los Diputados el 28 septiembre 2012, y aprobado por la Comisión de Hacienda y Administraciones públicas con competencia legislativa plena el 26 noviembre. Su inclusión se debió a la enmienda de adición número 169 introducida en el Senado por el Grupo Parlamentario Popular, carente de conexión, según la demanda, con las materias contenidas en el proyecto de ley aprobado por el Congreso de los Diputados, número 121-000026, y que se refería a los impuestos sobre la renta de las personas físicas, sociedades, patrimonio y valor añadido, y a los tributos locales sobre bienes inmuebles y sobre actividades económicas, pero sin contener ninguna alusión al impuesto sobre depósitos bancarios. Tal ausencia de conexión no puede además salvarse, se añade, afirmando que el impuesto sobre depósitos bancarios constituye una medida tributaria semejante a la restantes, ya que dicho tributo no tenía ánimo recaudatorio, toda vez que se fijó un tipo de gravamen del 0 por 100. Por tanto, y de acuerdo con la doctrina contenida en las SSTC 119/2011, de 5 julio, FJ 6, y 136/2011, de 13 septiembre, FJ 7, se incumple la exigencia de conexión de homogeneidad entre las enmiendas y los textos a enmendar, lo que conduce a su juicio a la inconstitucionalidad de la norma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enjuiciar el fondo de las cuestiones objeto de este proceso constitucional debemos dar respuesta a la objeción de procedibilidad que formula el Letrado del Senado, en la representación que ostenta, y que está vinculada a la controversia de fondo. Considera en su escrito que la recurrente no está legitimada para plantear una objeción sobre el proceso legislativo, toda vez que la doctrina del Tribunal Constitucional sobre la conexión debida entre las enmiendas presentadas y el ámbito material de los proyectos de ley se basa en el derecho de participación política de los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objeción debe ser desestimada, para lo que basta recordar que este Tribunal viene realizando una interpretación flexible de la legitimación de las Comunidades Autónomas para interponer recursos de inconstitucionalidad, contenida en el art. 32.2 de la Ley Orgánica del Tribunal Constitucional (LOTC). Al respecto, hemos afirmado en reiteradas ocasiones que dicha legitimidad en los recursos de inconstitucionalidad se encuentra fundamentalmente al servicio de la depuración del ordenamiento jurídico (por todas, con cita de muchas otras, SSTC 110/2011, de 22 de junio, FJ 2, y STC 239/2012, de 13 de diciembre, FJ 2), en coherencia con el objeto y finalidad misma del recurso de inconstitucionalidad, de carácter abstracto y orientado a la depuración objetiva del ordenamiento. Por ello, dicha legitimación ha sido entendida en los mismos términos y con la misma amplitud que la del resto de los sujetos contemplados en los anteriores artículos de la Ley Orgánica del Tribunal Constitucional, al haberles sido reconocida a cada uno de ellos “no en atención a su interés, sino en virtud de la alta cualificación política que se infiere de su respectivo cometido constitucional” [entre otras, SSTC 5/1981, de 13 de febrero, FJ 3; 180/2000, de 19 de junio, FJ 2 a); 274/2000, de 15 de noviembre, FJ 2, y 96/2002, de 25 de abril, FJ 3]. En fin, de acuerdo con nuestra doctrina contenida en las SSTC 119/2011, de 5 julio, 136/2011, de 13 septiembre, 204/2011, de 15 diciembre, y 209/2012 de 14 noviembre, y atendiendo al citado objeto mismo del recurso de inconstitucionalidad, corresponde aquí garantizar la primacía de la Constitución (art. 27.1 LOTC) y asegurar en concreto el correcto funcionamiento del sistema de producción normativa preconizado por la Norma fundamental, depurando y expulsando del ordenamiento las normas impugnadas que se aparten de dicho sistema. Debe así rechazarse la citada objeción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resolver esta tacha de inconstitucionalidad debemos partir de la doctrina sobre el ejercicio del derecho de enmienda al articulado, recogida, en esencia, en las Sentencias citadas por las partes; las SSTC 119/2011, de 5 julio, FJ 6 (recurso de amparo avocado núm. 7464-2003); 136/2011, de 13 septiembre, FJ 7 (recurso de inconstitucionalidad núm. 1390-1999); y 176/2011, de 8 de noviembre (recurso de inconstitucionalidad núm. 1827-2000); así como las posteriores SSTC 209/2012, de 14 de noviembre (recurso de inconstitucionalidad núm. 1848-2002), 132/2013, de 5 de junio (recurso de inconstitucionalidad núm. 4247-2002), y 120/2014, de 17 de julio (recurso de inconstitucionalidad núm. 1756-2003). Todas ellas dieron respuesta a recursos planteados, entre otros motivos, por infracciones del procedimiento legislativo similares a la que aquí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anterior doctrina pueden extraerse las siguientes ideas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ejercicio del derecho de enmienda al articulado, como forma de incidir en la iniciativa legislativa, debe respetarse una conexión mínima de homogeneidad con el texto enmendado, so pena de afectar, de modo contrario a la Constitución, tanto al derecho del autor de la iniciativa (art. 87 CE), como al carácter instrumental del procedimiento legislativo (art. 66.2 CE) y, en consecuencia, a la función y fines asignados al ejercicio de la potestad legislativa por las Cámaras, provocando un vicio en el desarrollo del citado procedimiento que podría alcanzar relevancia constitucional, si alterase de forma sustancial el proceso de formación de voluntad en el seno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determinar si concurre tal conexión material u homogeneidad mínima entre la iniciativa legislativa y la enmienda presentada, el órgano al que reglamentariamente corresponda efectuar ese análisis contará en todo caso con un amplio margen de valoración, pues de lo contrario el procedimiento legislativo se vería atrapado en unas reglas tan rígidas que pueden convertir el debate parlamentario en un procedimiento completamente reglado. Esto significa que los órganos de gobierno de las Cámaras deben contar con un amplio margen de apreciación para determinar la existencia de conexión material entre enmienda y proyecto o proposición de ley objeto de debate, debiendo éstos pronunciarse de forma motivada acerca de la conexión, de suerte que “sólo cuando sea evidente y manifiesto que no existe tal conexión deberá rechazarse la enmienda, puesto que, en tal caso, se pervertiría la auténtica naturaleza del derecho de enmienda, ya que habría pasado a convertirse en una nueva iniciativa legislativa” (STC 119/2011,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Cuando se trate de normas de contenido heterogéneo también debe respetarse el correcto ejercicio del derecho de enmienda dentro del procedimiento legislativo, si bien en este caso “la conexión de homogeneidad ha de entenderse de modo flexible que atienda también a su funcionalidad; y es que la pluralidad de las materias sobre las que versa en tales casos la iniciativa legislativa no las convierte en leyes de contenido indeterminado, ya que éste queda delimitado en el concreto texto presentado para su tramitación parlamentaria” (STC 136/2011, de 13 de septiembre,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Partiendo de las anteriores consideraciones, procede examinar si se ha infringido, como alega la demanda, el citado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debemos considerar cuál ha sido la valoración del órgano que reglamentariamente tiene encomendado el examen de las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admisión de la enmienda número 169 del Grupo Popular, que dio lugar a que se añadiera el artículo 19 que se impugna, fue objeto de un examen previo y específico por parte del órgano que tiene encomendada esta función, la Mesa del Senado, que como se expone en el escrito de alegaciones de esta Cámara tiene delegada la calificación material de las enmiendas en el Presidente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precisamente consecuencia de un nuevo procedimiento aprobado para dar cumplimiento a la doctrina contenida en la STC 119/2011 en relación con la calificación de las enmiendas. Dicho procedimiento se aplica a la presentación de propuestas de modificación a una iniciativa legislativa, una vez concluido el plazo de presentación de enmiendas, recogido en el acta de la reunión de la Mesa del Senado del 9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aquí importa, en dicho procedimiento, una vez finalizado el plazo de presentación de enmiendas, el Presidente del Senado, por delegación conferida por la Mesa de la Cámara, procede a calificar e inadmitir de forma motivada las enmiendas que incumplan los requisitos para su tramitación, abriéndose la posibilidad de que los grupos parlamentarios o senadores afectados puedan solicitar la reconsideración del acuerdo correspondiente a la Mesa, en virtud del artículo 36.2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dato, junto con el hecho cierto de que durante el proceso ningún senador o grupo parlamentario suscitó la cuestión de que las enmiendas carecían de congruencia material, debe tenerse en cuenta precisamente a la luz de nuestra doctrina citada, pues hemos reiterado que el órgano al que reglamentariamente corresponda efectuar ese análisis contará con un amplio margen de valoración y que, en concreto, cuando éste aprecie una falta absoluta de conexión, deberá valorar, siquiera de forma sucinta, si concurre o no tal conexión mínima, de suerte que “sólo cuando sea evidente y manifiesto que no existe tal conexión deberá rechazarse la enmienda, puesto que, en tal caso, se pervertiría la auténtica naturaleza del derecho de enmienda, ya que habría pasado a convertirse en una nueva iniciativa legislativa” (STC 119/2011,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examen de la práctica seguida por el Senado permite comprobar que este órgano ha tenido en cuenta la doctrina citada, a partir de la publicación de la citada STC 119/2011. En la actualidad, la Presidencia del Senado, en ejercicio de la citada delegación por parte de la Mesa de la Cámara, efectúa un control de coherencia y homogeneidad de enmiendas, existiendo numerosos ejemplos; entre otros, inadmisión a trámite de la enmienda número 165, planteada por el Grupo Parlamentario Popular, por falta de conexión con el proyecto de ley reguladora de la jurisdicción social (“Boletín Oficial de las Cortes Generales.” Senado, núm. 111, de 14 de septiembre de 2011); o inadmisión de la enmienda número 573, planteada por el mismo Grupo Popular, al entenderla desconectada con el proyecto de ley de medidas urgentes para la reforma del mercado laboral (“Boletín Oficial de las Cortes Generales.” Senado, núm. 70, de 13 de junio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concreto, no consta que la enmienda no fuera admitida, ni tampoco, como ya se ha adelantado, que algún senador o grupo parlamentario suscitase la cuestión de su carencia de congruencia material. Este dato tiene relevancia, sobre todo si se tiene en cuenta que los recursos de inconstitucionalidad resueltos por las citadas SSTC 119/2011 y siguientes, hasta la más reciente STC 120/2014, tienen en común el referirse a los años 2002 y 2003, además de haber sido en todos los casos planteadas por un grupo de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significa que este Tribunal deba dejar de controlar si existe la citada coherencia entre enmiendas, pero sí que existe una presunción de coherencia u homogeneidad por el hecho de no haber sido inadmitida; en especial, comprobado que en dicha Cámara se ha implantado, con carácter expreso según se ha constatado, una práctica para verificar específicamente dicho aspecto en las enmiendas que se introduzcan. Esta práctica “se incardina en el amplio margen de apreciación que hemos reiterado deben tener los órganos de gobierno de las Cámaras para determinar la existencia de conexión material entre enmienda y proyecto o proposición de ley objeto de debate” (SSTC 119/2011, FJ 7, y 204/2011,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el contenido de la misma, debemos examinar, si pese al anterior control por parte del órgano de la Cámara, la introducción del impuesto sobre los depósitos en las entidades de crédito a través del artículo 19 impugnado adoleció de una ausencia “mínima” de homogeneidad con el texto enmendado, afectándose así tanto al derecho del autor de la iniciativa (art. 87 CE), como al carácter instrumental del procedimiento legislativo (art. 66.2 CE), lo que “podría alcanzar relevancia constitucional, si alterase de forma sustancial el proceso de formación de voluntad en el seno de las Cámaras”, como hemos hecho constar.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proyecto tenía como objeto una serie de medidas tributarias, de forma que en principio es posible apreciar la vinculación entre una enmienda que establece un tributo nuevo y un texto legislativo que modifica las figuras centrales del sistema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Abona esta conclusión el propio contenido heterogéneo del proyecto de ley, que se refería de forma conjunta a diversos tributos, lo que permite ya desestimar la tacha en aplicación de nuestra doctrina contenida en la STC 209/2012, de 14 de noviembre, FJ 4 b), que precisamente se refiere a la introducción, mediante enmiendas, de nuevas figuras tributarias en un texto legislativo que, entre otros aspectos, contenía una serie de medidas tributarias. En la citada Sentencia y fundamento afirmamos que “la introducción de las tres enmiendas citadas en el texto de una iniciativa que precisamente hacía referencia a medidas tributarias en diferentes materias (impuestos y tasas) no sólo no está huérfana de la necesaria conexión material con el objeto de la iniciativa (STC 136/2011, de 13 de septiembre, FJ 8), sino que es congruente con su objeto, espíritu y fines esenciales (ATC 118/1999, de 10 de mayo, FJ 4), tanto más cuando la conexión reclamada no tiene que ser de identidad con las medidas previstas en el texto de la iniciativa sino de afinidad con las materias recogidas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argumento de la total desconexión entre la enmienda y el proyecto de ley decae con el análisis del segundo, ya que dicho proyecto se articula precisamente como una norma tributaria de carácter transversal cuya finalidad era modificar los principales tributos del sistema. En efecto, en el texto aprobado por el Congreso de los Diputados (publicado en el “Boletín Oficial de las Cortes Generales”, núm., 125, de 23 de noviembre de 2012, pág. 34) se introducían importantes modificaciones en los impuestos sobre la renta de las personas físicas (capítulo I), sobre sociedades (capítulos II y III), sobre el patrimonio (capítulo IV), sobre la renta de no residentes (capítulo V), sobre el valor añadido (capítulo VI), sobre transmisiones patrimoniales y actos jurídicos documentados (capítulo VII), en los tributos locales (capítulo VIII) y en el catastro inmobiliario (capítulo IX), y, en fin, en el régimen económico y 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así de una norma cuyo contenido tributario resultaba evidente, aunque incluyendo distintos tributos, no puede afirmarse que exista una total falta de homogeneidad o desconexión, en los términos alegados por la demanda, y de acuerdo con nuestra doctrina reiterada, que exige cohonestar el examen de la posible vulneración constitucional con la necesaria flexibilidad en el procedimiento legislativo y el papel de control que a los órganos de gobierno corresponden y del que el proceso constitucional es siempre subsidiario. No habiéndose así constatado una alteración sustancial del proceso de formación de voluntad en el seno de las Cámaras, el presente motivo de inconstitucionalidad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Gobierno de Cataluña contra el art. 19 de la Ley 16/2012, de 27 de diciembre, por la que se adoptan diversas medidas tributarias dirigidas a la consolidación de las finanzas públicas y al impulso de la actividad económica.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al que se adhieren el Magistrado don Luis Ignacio Ortega Álvarez y la Magistrada doña Encarnación Roca Trías respecto de la Sentencia dictada en el recurso de inconstitucionalidad núm. 1873-2013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mayoritaria de mis compañeros en la que se sustenta la Sentencia, manifiesto mi discrepancia con la argumentación y decisión de desestimar el recurso de inconstitucionalidad interpuesto por el Gobierno de Cataluña contra el art. 19 de la Ley 16/2012, de 27 de diciembre, por el que se crea el impuesto sobre depósitos en las entidades de crédito.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26/2015, de 19 de febrero, al que me remito para evitar reiteraciones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marzo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