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Santiago Martínez-Vares García, don Juan Antonio Xiol Ríos, don Pedro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3045-2012, promovido por las sociedades mercantiles Inmobiliaria Alozaima S.L., Grupo Acraba, S.L., E.S. El Moro, S.L., Estagas, S.L., y Grossen, S.A., representadas por el Procurador de los Tribunales don David García Riquelme y asistidas por los Abogados don Alfredo Hernández Pardo y doña Lourdes Ruiz Ezquerra, contra el Auto de la Sección Primera de la Sala de lo Contencioso-Administrativo del Tribunal Supremo, de fecha 29 de septiembre del 2011, que resolvió la inadmisión del recurso de casación núm. 677-2011, interpuesto por las sociedades demandantes de amparo, y contra el Auto de fecha 15 de marzo de 2012, que desestimó el incidente de nulidad de actuaciones deducido contra la resolución precedente. Ha comparecido el Abogado del Estado, en la representación que ostenta. También ha comparecido la mercantil Disa Península, S.L.U., representada por la Procuradora de Tribunales doña Teresa de las Alas- Pumariño Larrañaga y asistida por el Abogado don Rafael Allendesalazar. Ha intervenido el Ministerio Fiscal. Ha sido Ponente el Magistrado don Pedro José González Trevijano-Sánchez,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mayo de 2012 tuvo entrada en el Registro General de este Tribunal el escrito presentado por el Procurador de los Tribunales don David García Riquelme, en representación de las entidades mercantiles Inmobiliaria Alozaima, S.L., Grupo Acraba, S.L., E.S. El Moro, S.L., Estagas, S.L., y Grossen, S.A., y asistidas por los Abogados don Alfredo Hernández Pardo y doña Lourdes Ruiz Ezquerra, mediante el cual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demandantes de amparo (junto con otra que no ha comparecido en el presente recurso de amparo) interpusieron recurso contencioso-administrativo contra el acuerdo del Consejo de la Comisión Nacional de la Competencia (expediente 691 DISA), de fecha 27 de noviembre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con el núm.35-2008, la Sala de lo Contencioso-Administrativo de la Audiencia Nacional (Sección Sexta) dictó, en fecha 2 de diciembre de 2010, Sentencia desestimatoria de las pretensiones de las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el día 10 de enero de 2011, las sociedades demandantes de amparo (junto con la otra entidad que no ha comparecido en el presente recurso) interesaron que se tuviera por preparado recurso de casación contra la Sentencia antes indicada. En dicho escrito pusieron de manifiesto la intención de interponer recurso de casación y, a su vez, indicaron que el recurso iba a fundarse en los motivos previstos en el art. 88.1 d)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fecha 27 de enero de 2011, la Sala de lo Contencioso-Administrativo de la Audiencia Nacional tuvo por preparado el recurso de casación. Asimismo, dicho órgano acordó emplazar a las demandantes para que comparecieran ante la Sala Tercera del Tribunal Supremo. Una vez recibidas las actuaciones por el órgano ad quem, el día 16 de marzo de 2011 las entidades actoras interpusieron el recurso de casación ante la Sala Tercera del Tribunal Supremo. El recurso de casación fue registrado con el número 677-2011.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26 de abril de 2011, la Sala Tercera del Tribunal Supremo confirió traslado a las partes, a fin que formularan alegaciones sobre la posible concurrencia de causa de inadmisión, consistente en no haber citado en el escrito de preparación las infracciones normativas o jurisprudenciales que iban a desarrollarse en el escrito de interposición [arts. 88.1, 89.1 y 93.2 a) LJCA], conforme a lo establecido en el ATS de 10 de febrero de 2011, dictado en el recurso de casación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16 de mayo de 2011, las sociedades demandantes evacuaron el traslado conferido. En síntesis, pusieron de relieve cuál es, según su criterio, la finalidad del escrito de preparación del recurso de casación y qué requisitos de forma deben ser cumplimentados, entre los cuales no figura la obligación de indicar las infracciones legales o jurisprudenciales atribuidas a la Sentencia recurrida. Asimismo, indicaron que el ATS de fecha 10 de febrero de 2011 es de fecha posterior al escrito de preparación del recurso de casación, de manera que la nueva doctrina estatuida no puede ser aplicada a situaciones precedentes. Por todo ello, interesaron la admisión del recurso de casación, para así satisfacer el derecho al acceso a los recursos que les reconoce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29 de septiembre de 2011, la Sala Tercera del Tribunal Supremo (Sección Primera) acordó la inadmisión del recurso de casación. En apoyo de su decisión, la Sala se remitió a la doctrina establecida en ATS de 10 de febrero de 2011 y concluyó que, al no haberse citado en el escrito de preparación del recurso de casación las infracciones normativas o jurisprudenciales que iban a desarrollarse en el escrito de interposición, procedía la inadmisión del referido recurso. Respecto de la alegación de las demandantes, acerca de que la preparación del recurso de casación tuvo lugar con anterioridad al dictado del ATS de fecha 10 de febrero de 2011, la Sala consideró que, de acuerdo con la doctrina constitucional, los jueces y tribunales pueden modificar la interpretación precedente sobre determinados preceptos legales, con tal que el cambio de criterio sea razonado, en términos de Derecho, para que no resulte arbitrario ni sea fruto de un mero voluntarismo casuístico. Por tanto, la exigencia de igualdad y no arbitrariedad no puede traducirse en una petrificación de la jurisprudencia, de modo que cada órgano judicial quede rígidamente vinculado por sus propios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fecha 29 de noviembre de 2011, la sociedades recurrentes promovieron incidente de nulidad de actuaciones, en el cual, con una extensa argumentación, alegaron la vulneración del derecho a la igualdad en la aplicación judicial de la Ley (artículo 14 CE) y del derecho a la tutela judicial efectiva en su vertiente de acceso a los recursos (artículo 24.1 CE). Denunciaron, en resumen, que el Tribunal Supremo había introducido una modificación arbitraria e infundada respecto de los requisitos del escrito de preparación del recurso de casación contra Sentencias dictadas por la Audiencia Nacional, pues dicho cambio de criterio impone el cumplimiento de unas exigencias no contempladas en la ley y, además, se aplica a escritos de preparación presentados con anterioridad a que pudiera conocerse el nuevo criterio establecido. Finalmente, invocaron la quiebra del derecho a la igualdad en la aplicación judicial de la ley, puesto que otros recursos de casación fueron admitidos cumpliendo los mismos presupuestos formales que los seguidos por las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15 de marzo de 2012 fue desestimado el incidente de nulidad de actuaciones promovido contra el Auto de 10 de noviembre de 2011. En esencia, el órgano judicial considera que las demandantes se limitan a discrepar de las razones tenidas en consideración para inadmitir el recurso de casación, asimilando el incidente de nulidad a un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la vulneración del derecho a la igualdad en la aplicación judicial de la ley (art 14 CE) y del derecho a la tutela judicial efectiva sin indefensión, en su vertiente del acceso a los recursos (art. 24.1 CE). En síntesis, tales vulneraciones se asientan en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en cuya virtud se inadmitió el recurso de casación exige al recurrente anticipar, en el escrito de preparación del recurso de casación, los concretos preceptos o la jurisprudencia que se reputan infringidos. Dicha imposición carece de cobertura en la LJCA, puesto que ningún precepto de la citada norma así lo exige cuando se impugnan Sentencias dictadas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el criterio sustentado en el referido Auto se ha aplicado con carácter retroactivo, pues no era conocido ni predecible al momento de preparar el recurso de casación. A este respecto, destaca la diferencia entre los cambios jurisprudenciales relativos a cuestiones sustantivas, que resuelven el fondo del asunto, y las modificaciones de criterio referidas a las normas sobre la admisibilidad de los recursos, las cuales no pueden ser exigidas una vez vencido el trámite sobre el que se proyecta el cambio de criterio, pues ello origina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modificación de criterio efectuado por la Sala Tercera del Tribunal Supremo comporta una quiebra del principio de igualdad en la aplicación de la ley, toda vez que otros recursos preparados siguiendo el mismo esquema fueron admitidos a trámite, por la aplicación de un criterio más benévolo para el derecho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16 de septiembre de 2013, el Magistrado de este Tribunal don Juan José González Rivas solicitó se le tuviera por abstenido en el presente recurso, dada la concurrencia de la causa de abstención prevista en el art. 219.11 de la Ley Orgánica del Poder Judicial (LOPJ), de aplicación supletoria conforme a lo establecido en el art. 80 de la Ley Orgánica del Tribunal Constitucional (LOTC), habida cuenta de que formó parte de la Sección Primera de la Sala Tercera del Tribunal Supremo, órgano este que dictó el Auto de fecha 15 de marzo de 2012, que es objeto de impugnación en el presente recurso. Mediante escrito de fecha 30 de octubre de 2013, el referido Magistrado también comunicó haber formado parte de la referida Sección, que también dictó el Auto de inadmisión, de fecha 29 de septiembre de 2011, igualmente combatido en el presente recurso de amparo. Por Auto de fecha 23 de septiembre de 2013, la Sección Tercera de este Tribunal resolvió estimar justificada la causa de abstención invocada, apartando definitivamente del conocimiento del presente recurso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noviembre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 677-2011 y al recurso núm. 35-2008,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21 de noviembre de 2013, el Abogado del Estado, en la representación que le es propia, solicitó que se le tuviera por personado y parte en el presente recurso. Asimismo, por escrito de fecha 29 de abril de 2014, la sociedad Disa Península, S.L.U., quien había sido emplazada por la Sala de lo Contencioso-Administrativo de la Audiencia Nacional conforme a lo acordado en la providencia citada en el apartado anterior, solicitó que se la tuviera por comparecida en el presente recurso, bajo la representación del Procuradora de Tribunales doña Teresa de Alas-Pumariño Larrañaga y asistida por el abogado don Rafael Allendesalazar.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fecha 22 de mayo de 2014, se tuvo por personado y parte al Abogado del Estado, en representación de la Administración del Estado, y a la sociedad Disa Península, S.L.U. A tenor de lo dispuesto en el art. 52.1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sus alegaciones mediante escrito registrado el día 30 de mayo de 2014. En síntesis, considera que, a la luz de la doctrina constitucional, el Auto de inadmisión combatido en amparo vulnera el derecho al acceso a los recursos que garantiza el art. 24.1 CE. Para el Abogado del Estado el auténtico problema constitucional que la demanda suscita radica en la aplicación retrospectiva de las nuevas máximas jurisprudenciales plasmadas en el ATS de 10 de febrero de 2011, que la demandante no podía conocer cuando preparó el recurso de casación. En el presente caso, la inadmisión del recurso de casación se sustenta, precisamente, en que no se preparó conforme a las referidas máximas, lo que supone imponer retroactivamente un novedoso régimen procesal desfavorable a la realización de un acto procesal totalmente concluido. Por tanto, la cuestión principal radica en la irrazonabilidad de una decisión que impone unos requisitos de forma que la parte no tenía posibilidad de conocer ni, por tanto, de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20 de junio de 2014 presentó sus alegaciones la entidad Disa Península, S.L.U. Para dicha sociedad, las resoluciones combatidas en el presente recurso de amparo no vulneran el art. 14 CE. A ese respecto, considera que las demandantes no han aportado un término válido de comparación sobre el que sustentar la pretendida desigualdad constitucionalmente proscrita. Por otro lado, añade que no concurre ninguna de las circunstancias que, según la doctrina constitucional, dan lugar a la desigualdad en la aplicación de la ley por parte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denunciada lesión de la tutela judicial efectiva (art. 24.1 CE), considera que el motivo está también desprovisto de todo fundamento, habida cuenta de que el giro jurisprudencial a que se alude tuvo lugar, al menos, desde el año 2009. Sobre ese particular advierte que, desde el año mencionado, diversas resoluciones del Tribunal Supremo venían exigiendo que en el escrito de preparación se indicasen los motivos del recurso de casación (AATS de fecha 3 de noviembre de 2009, 14 de octubre, 18 de noviembre y 25 de noviembre de 2010). En consecuencia, la indefensión que invocan las demandantes no es imputable al órgano judicial, sino a un error cometido por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entidad personada sostiene que la inadmisión está exhaustivamente motivada, se basa en una causa legalmente prevista y es absolutamente compatible con lo establecido en los arts. 9.3, 14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mediante escrito registrado el 20 de junio de 2014. Descarta la vulneración del art. 14 CE, dado que las sociedades demandantes no han ofrecido un desarrollo argumental adecuado para justificar la vulneración de la igualdad en la aplicación de la ley. Tal deficiencia aboca al fracaso del motivo, toda vez que no le corresponde al Tribunal Constitucional reconstruir las demandas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rechaza la pretendida vulneración del art. 24.1 CE, pues entiende que la argumentación ofrecida para inadmitir el recurso de casación no incurre en arbitrariedad, falta de razonabilidad o error patente. A mayor abundamiento, añade que el criterio mantenido por el órgano judicial en relación con los requisitos del escrito de preparación del recurso de casación, esto es, la obligación de indicar las concretas infracciones normativas o jurisprudenciales, se desprende del propio tenor de los apartados c) y d) del art. 88 LJCA. Por ello, concluye que el requisito cuyo incumplimiento ha determinado la inadmisión del referido recurso no viene impuesto por la jurisprudencia, sino por la propia normativa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fecha 23 de junio de 2014, la mercantil Grossen, S.A., interesó que se la tuviera por desistida del presente recurso de amparo. Tras la realización de los trámites oportunos, por Auto de la Sala Segunda de este Tribunal, de fecha 8 de septiembre de 2014, se acordó tener por desistida a la referida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25 de junio de 2014 presentaron sus alegaciones las entidades demandantes (salvo la sociedad desistida), en el sentido de ratificar íntegramente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de fecha 17 de julio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29 de septiembre de 2011, del que trae causa el presente recurso de amparo. Por Auto de fecha 17 de julio de 2014, la Sala Segunda de este Tribunal resolvió estimar justificada la causa de abstención invocada, apartando definitivamente del conocimiento del presente recurso y de todas sus incidencias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fecha de 17 de marzo de 2015, el Pleno, en su reunión de esa fecha y conforme establece el artículo 10.1 n) de la Ley Orgánica del Tribunal, a propuesta de la Sala Segunda, acuerda recabar para sí el conocimiento del recurso de amparo.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entidades demandantes de amparo impugnan el Auto de la Sección Primera de la Sala de lo Contencioso-Administrativo del Tribunal Supremo de 29 de septiembre de 2011, que acordó no admitir a trámite el recurso de casación interpuesto contra la Sentencia de la Sala de lo Contencioso-Administrativo de la Audiencia Nacional (Sección Sexta) de 2 de diciembre de 2010, recaída en el procedimiento ordinario núm. 35-2008. También impugnan el Auto de fecha 15 de marzo de 2012, en cuya virtud se desestimó el incidente de nulidad promovido contra la resolución citada en primer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recurrentes, según se expresa con más detalle en los antecedentes de hecho de esta resolución, imputa a las resoluciones recurridas: (i) la vulneración de su derecho a la tutela judicial efectiva (art. 24.1 CE), en su vertiente de acceso a los recursos, porque el Auto impugnado se funda en un requisito de admisibilidad no exigido por la ley; (ii) la vulneración de su derecho a la tutela judicial efectiva (art. 24.1 CE), en su vertiente de acceso a los recursos, porque la exigencia de anticipar, en el escrito de preparación del recurso de casación, los concretos preceptos o la jurisprudencia que se reputan infringidos se ha aplicado a un supuesto en el que aquella exigencia no era conocida ni predecible a tenor de la jurisprudencia precedente; (iii) la vulneración de su derecho a la igualdad en la aplicación judicial de la ley (art.14 CE), pues entiende que la interpretación jurisprudencial combatida ha supuesto para las entidades demandantes un trato menos favorable, desde la perspectiva del acceso a los recursos, que las resoluciones dictadas con anterioridad al ATS de fecha 10 de febrero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la jurisprudencia que el recurrente reputa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de 17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Brualla Gómez de la Torre c. España; y de 25 de enero de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de mayo de 2000; Llopis Ruiz c. España, de 7 de noviembre de 2003; e Ipamark c. España,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anteriormente indicada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la excepción que, por disposición legal, establezca el efecto exclusivamente prospectivo de la Sentencia, como así se prevé en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las sociedades recurrentes no procedieron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y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ad personam o de ruptura ocasional en una línea que se venga manteniendo con normal uniformidad antes de la decisión divergente o se continúe con posterioridad (por todas, SSTC 105/2009, de 4 de mayo, FJ 4, y 178/2014, de 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Auto del Tribunal Supremo impugnado —lejos de ser una decisión particularizada y adoptada ad hoc por el órgano judicial para resolver ese solo caso o para aplicarlo exclusivamente a las recurrentes— constituye la plasmación de un criterio jurisprudencial previamente adoptado con carácter general y con vocación de permanencia para resolver todos los supuestos de las mismas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consideración a lo argumentado en los anteriores fundamentos jurídicos,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las entidades mercantiles Inmobiliaria Alozaima, S.L., Grupo Acraba, S.L., E.S. El Moro, S.L., y Estagas,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y don Juan Antonio Xiol Ríos a la Sentencia dictada en el recurso de amparo avocado núm. 3045-2012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Pleno en la que se sustenta la Sentencia, manifestamos nuestra discrepancia con la fundamentación jurídica y el fallo de esta. Consideramos que hubiera debido ser estimatoria por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los Votos particulares formulados a las SSTC 7/2015, de 22 de enero, y 16/2015, de 16 de febrero, a los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