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3045-2012, promovido por las sociedades mercantiles Inmobiliaria Alozaima S.L., Grupo Acraba, S.L., E.S. El Moro, S.L., Estagas, S.L., y Grossen, S.A., representadas por el Procurador de los Tribunales don David García Riquelme y asistidas por los Abogados don Alfredo Hernández Pardo y doña Lourdes Ruiz Ezquerra, contra el Auto de la Sección Primera de la Sala de lo Contencioso-Administrativo del Tribunal Supremo, de fecha 29 de septiembre del 2011, que resolvió la inadmisión del recurso de casación núm. 677-2011, interpuesto por las sociedades demandantes de amparo, y contra el Auto de fecha 15 de marzo de 2012, que desestimó el incidente de nulidad de actuaciones deducido contra la resolución precedente. Ha comparecido el Abogado del Estado, en la representación que ostenta. También ha comparecido la mercantil Disa Península, S.L.U., representada por la Procuradora de Tribunales doña Teresa de las Alas- Pumariño Larrañaga y asistida por el Abogado don Rafael Allendesalazar. Ha intervenido el Ministerio Fiscal. Ha sido Ponente el Magistrado don Pedro José González Trevijano-Sánchez,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mayo de 2012 tuvo entrada en el Registro General de este Tribunal el escrito presentado por el Procurador de los Tribunales don David García Riquelme, en representación de las entidades mercantiles Inmobiliaria Alozaima, S.L., Grupo Acraba, S.L., E.S. El Moro, S.L., Estagas, S.L., y Grossen, S.A., y asistidas por los Abogados don Alfredo Hernández Pardo y doña Lourdes Ruiz Ezquerra,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demandantes de amparo (junto con otra que no ha comparecido en el presente recurso de amparo) interpusieron recurso contencioso-administrativo contra el acuerdo del Consejo de la Comisión Nacional de la Competencia (expediente 691 DISA), de fecha 27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núm.35-2008, la Sala de lo Contencioso-Administrativo de la Audiencia Nacional (Sección Sexta) dictó, en fecha 2 de diciembre de 2010, Sentencia desestimatoria de las pretensiones de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10 de enero de 2011, las sociedades demandantes de amparo (junto con la otra entidad que no ha comparecido en el presente recurso) interesaron que se tuviera por preparado recurso de casación contra la Sentencia antes indicada. En dicho escrito pusieron de manifiesto la intención de interponer recurso de casación y, a su vez, indicaron que el recurso iba a fundarse en los motivos previstos en el art.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fecha 27 de enero de 2011, la Sala de lo Contencioso-Administrativo de la Audiencia Nacional tuvo por preparado el recurso de casación. Asimismo, dicho órgano acordó emplazar a las demandantes para que comparecieran ante la Sala Tercera del Tribunal Supremo. Una vez recibidas las actuaciones por el órgano ad quem, el día 16 de marzo de 2011 las entidades actoras interpusieron el recurso de casación ante la Sala Tercera del Tribunal Supremo. El recurso de casación fue registrado con el número 677-2011.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26 de abril de 2011, la Sala Tercera del Tribunal Supremo confirió traslado a las partes, a fin que formularan alegaciones sobre la posible concurrencia de causa de inadmisión, consistente en no haber citado en el escrito de preparación las infracciones normativas o jurisprudenciales que iban a desarrollarse en el escrito de interposición [arts. 88.1, 89.1 y 93.2 a) LJCA], conforme a lo establecido en el ATS de 10 de febrero de 2011, dictado en el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16 de mayo de 2011, las sociedades demandantes evacuaron el traslado conferido. En síntesis, pusieron de relieve cuál es, según su criterio, la finalidad del escrito de preparación del recurso de casación y qué requisitos de forma deben ser cumplimentados, entre los cuales no figura la obligación de indicar las infracciones legales o jurisprudenciales atribuidas a la Sentencia recurrida. Asimismo, indicaron que el ATS de fecha 10 de febrero de 2011 es de fecha posterior al escrito de preparación del recurso de casación, de manera que la nueva doctrina estatuida no puede ser aplicada a situaciones precedentes. Por todo ello, interesaron la admisión del recurso de casación, para así satisfacer el derecho al acceso a los recursos que les reconoce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29 de septiembre de 2011, la Sala Tercera del Tribunal Supremo (Sección Primera) acordó la inadmisión del recurso de casación. En apoyo de su decisión, la Sala se remitió a la doctrina establecida en ATS de 10 de febrero de 2011 y concluyó que, al no haberse citado en el escrito de preparación del recurso de casación las infracciones normativas o jurisprudenciales que iban a desarrollarse en el escrito de interposición, procedía la inadmisión del referido recurso. Respecto de la alegación de las demandantes, acerca de que la preparación del recurso de casación tuvo lugar con anterioridad al dictado del ATS de fecha 10 de febrero de 2011, la Sala consideró que, de acuerdo con la doctrina constitucional, los jueces y tribunales pueden modificar la interpretación precedente sobre determinados preceptos legales, con tal que el cambio de criterio sea razonado, en términos de Derecho, para que no resulte arbitrario ni sea fruto de un mero voluntarismo casuístico. Por tanto, la exigencia de igualdad y no arbitrariedad no puede traducirse en una petrificación de la jurisprudencia, de modo que cada órgano judicial quede rígidamente vinculado por sus propios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29 de noviembre de 2011, la sociedades recurrentes promovieron incidente de nulidad de actuaciones, en el cual, con una extensa argumentación, alegaron la vulneración del derecho a la igualdad en la aplicación judicial de la Ley (artículo 14 CE) y del derecho a la tutela judicial efectiva en su vertiente de acceso a los recursos (artículo 24.1 CE). Denunciaron, en resumen, que el Tribunal Supremo había introducido una modificación arbitraria e infundada respecto de los requisitos del escrito de preparación del recurso de casación contra Sentencias dictadas por la Audiencia Nacional, pues dicho cambio de criterio impone el cumplimiento de unas exigencias no contempladas en la ley y, además, se aplica a escritos de preparación presentados con anterioridad a que pudiera conocerse el nuevo criterio establecido. Finalmente, invocaron la quiebra del derecho a la igualdad en la aplicación judicial de la ley, puesto que otros recursos de casación fueron admitidos cumpliendo los mismos presupuestos formales que los seguidos por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15 de marzo de 2012 fue desestimado el incidente de nulidad de actuaciones promovido contra el Auto de 10 de noviembre de 2011. En esencia, el órgano judicial considera que las demandantes se limitan a discrepar de las razones tenidas en consideración para inadmitir el recurso de casación, asimilando el incidente de nulidad a un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tales vulneraciones se asientan 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en cuya virtud se inadmitió el recurso de casación exige al recurrente anticipar, en el escrito de preparación del recurso de casación, los concretos preceptos o la jurisprudencia que se reputan infringidos. Dicha imposición carece de cobertura en la LJCA, puesto que ningún precepto de la citada norma así lo exige cuando se impugnan Sentencias dictadas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criterio sustentado en el referido Auto se ha aplicado con carácter retroactivo, pues no era conocido ni predecible al momento de preparar el recurso de casación. A este respecto, destaca la diferencia entre los cambios jurisprudenciales relativos a cuestiones sustantivas, que resuelven el fondo del asunto, y las modificaciones de criterio referidas a las normas sobre la admisibilidad de los recursos, las cuales no pueden ser exigidas una vez vencido el trámite sobre el que se proyecta el cambio de criterio, pues ello origina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de criterio efectuado por la Sala Tercera del Tribunal Supremo comporta una quiebra del principio de igualdad en la aplicación de la ley, toda vez que otros recursos preparados siguiendo el mismo esquema fueron admitidos a trámite, por la aplicación de un criterio más benévolo para 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16 de septiembre de 2013, el Magistrado de este Tribunal don Juan José González Rivas solicitó se le tuviera por abstenido en el presente recurso, dada la concurrencia de la causa de abstención prevista en el art. 219.11 de la Ley Orgánica del Poder Judicial (LOPJ), de aplicación supletoria conforme a lo establecido en el art. 80 de la Ley Orgánica del Tribunal Constitucional (LOTC), habida cuenta de que formó parte de la Sección Primera de la Sala Tercera del Tribunal Supremo, órgano este que dictó el Auto de fecha 15 de marzo de 2012, que es objeto de impugnación en el presente recurso. Mediante escrito de fecha 30 de octubre de 2013, el referido Magistrado también comunicó haber formado parte de la referida Sección, que también dictó el Auto de inadmisión, de fecha 29 de septiembre de 2011, igualmente combatido en el presente recurso de amparo. Por Auto de fecha 23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 677-2011 y al recurso núm. 35-2008,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21 de noviembre de 2013, el Abogado del Estado, en la representación que le es propia, solicitó que se le tuviera por personado y parte en el presente recurso. Asimismo, por escrito de fecha 29 de abril de 2014, la sociedad Disa Península, S.L.U., quien había sido emplazada por la Sala de lo Contencioso-Administrativo de la Audiencia Nacional conforme a lo acordado en la providencia citada en el apartado anterior, solicitó que se la tuviera por comparecida en el presente recurso, bajo la representación del Procuradora de Tribunales doña Teresa de Alas-Pumariño Larrañaga y asistida por el abogado don Rafael Allendesalazar.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22 de mayo de 2014, se tuvo por personado y parte al Abogado del Estado, en representación de la Administración del Estado, y a la sociedad Disa Península, S.L.U.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día 30 de mayo de 2014. En síntesis, considera que, a la luz de la doctrina constitucional, el Auto de inadmisión combatido en amparo vulnera el derecho al acceso a los recursos que garantiza el art. 24.1 CE. Para el Abogado del Estado el auténtico problema constitucional que la demanda suscita radica en la aplicación retrospectiva de las nuevas máximas jurisprudenciales plasmadas en el ATS de 10 de febrero de 2011, que la demandante no podía conocer cuando preparó el recurso de casación. En el presente caso, la inadmisión del recurso de casación se sustenta, precisamente, en que no se preparó conforme a las referidas máximas, lo que supone imponer retroactivamente un novedoso régimen procesal desfavorable a la realización de un acto procesal totalmente concluido. Por tanto, la cuestión principal radica en la irrazonabilidad de una decisión que impone unos requisitos de forma que la parte no tenía posibilidad de conocer ni, por tanto,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20 de junio de 2014 presentó sus alegaciones la entidad Disa Península, S.L.U. Para dicha sociedad, las resoluciones combatidas en el presente recurso de amparo no vulneran el art. 14 CE. A ese respecto, considera que las demandantes no han aportado un término válido de comparación sobre el que sustentar la pretendida desigualdad constitucionalmente proscrita. Por otro lado, añade que no concurre ninguna de las circunstancias que, según la doctrina constitucional, dan lugar a la desigualdad en la aplicación de la ley por parte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denunciada lesión de la tutela judicial efectiva (art. 24.1 CE), considera que el motivo está también desprovisto de todo fundamento, habida cuenta de que el giro jurisprudencial a que se alude tuvo lugar, al menos, desde el año 2009. Sobre ese particular advierte que, desde el año mencionado, diversas resoluciones del Tribunal Supremo venían exigiendo que en el escrito de preparación se indicasen los motivos del recurso de casación (AATS de fecha 3 de noviembre de 2009, 14 de octubre, 18 de noviembre y 25 de noviembre de 2010). En consecuencia, la indefensión que invocan las demandantes no es imputable al órgano judicial, sino a un error cometido por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entidad personada sostiene que la inadmisión está exhaustivamente motivada, se basa en una causa legalmente prevista y es absolutamente compatible con lo establecido en los arts. 9.3,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20 de junio de 2014. Descarta la vulneración del art. 14 CE, dado que las sociedades demandantes no han ofrecido un desarrollo argumental adecuado para justificar la vulneración de la igualdad en la aplicación de la ley. Tal deficiencia aboca al fracaso del motivo, toda vez que no le corresponde al Tribunal Constitucional reconstruir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 pretendida vulneración del art. 24.1 CE, pues entiende que la argumentación ofrecida para inadmitir el recurso de casación no incurre en arbitrariedad, falta de razonabilidad o error patente. A mayor abundamiento, añade que el criterio mantenido por el órgano judicial en relación con los requisitos del escrito de preparación del recurso de casación, esto es, la obligación de indicar las concretas infracciones normativas o jurisprudenciales, se desprende del propio tenor de los apartados c) y d) del art. 88 LJCA. Por ello, concluye que el requisito cuyo incumplimiento ha determinado la inadmisión del referido recurso no viene impuesto por la jurisprudencia, sino por la propia normativa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23 de junio de 2014, la mercantil Grossen, S.A., interesó que se la tuviera por desistida del presente recurso de amparo. Tras la realización de los trámites oportunos, por Auto de la Sala Segunda de este Tribunal, de fecha 8 de septiembre de 2014, se acordó tener por desistida a la referida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25 de junio de 2014 presentaron sus alegaciones las entidades demandantes (salvo la sociedad desistida), en el sentido de ratificar íntegramente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fecha 17 de julio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29 de septiembre de 2011, del que trae causa el presente recurso de amparo. Por Auto de fecha 17 de julio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de 17 de marzo de 2015, el Pleno, en su reunión de esa fecha y conforme establece el artículo 10.1 n) de la Ley Orgánica del Tribunal, a propuesta de la Sala Segunda, acuerda recabar para sí el conocimiento del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entidades demandantes de amparo impugnan el Auto de la Sección Primera de la Sala de lo Contencioso-Administrativo del Tribunal Supremo de 29 de septiembre de 2011, que acordó no admitir a trámite el recurso de casación interpuesto contra la Sentencia de la Sala de lo Contencioso-Administrativo de la Audiencia Nacional (Sección Sexta) de 2 de diciembre de 2010, recaída en el procedimiento ordinario núm. 35-2008. También impugnan el Auto de fecha 15 de marzo de 2012, en cuya virtud se desestimó el incidente de nulidad promovido contra la resolución citada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recurrentes, según se expresa con más detalle en los antecedentes de hecho de esta resolución, imputa a las resoluciones recurridas: (i) la vulneración de su derecho a la tutela judicial efectiva (art. 24.1 CE), en su vertiente de acceso a los recursos, porque el Auto impugnado se funda en un requisito de admisibilidad no exigido por la ley; (ii) la vulneración de su derecho a la tutela judicial efectiva (art. 24.1 CE), en su vertiente de acceso a los recursos, porque la exigencia de anticipar, en el escrito de preparación del recurso de casación, los concretos preceptos o la jurisprudencia que se reputan infringidos se ha aplicado a un supuesto en el que aquella exigencia no era conocida ni predecible a tenor de la jurisprudencia precedente; (iii) la vulneración de su derecho a la igualdad en la aplicación judicial de la ley (art.14 CE), pues entiende que la interpretación jurisprudencial combatida ha supuesto para las entidades demandantes un trato menos favorable, desde la perspectiva del acceso a los recursos, que las resoluciones dictadas con anterioridad al ATS de fecha 10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la jurisprudencia que el recurrente reputa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de noviembre de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anteriormente indicada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las sociedades recurrentes no procedieron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y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las recurrentes—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las entidades mercantiles Inmobiliaria Alozaima, S.L., Grupo Acraba, S.L., E.S. El Moro, S.L., y Estagas,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a la Sentencia dictada en el recurso de amparo avocado núm. 3045-2012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las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