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14 de abril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112-2013, promovido por la entidad mercantil Pegasa, 2 S.L., representada por el Procurador de los Tribunales don Felipe Segundo Juanas Blanco y asistida por el Abogado don Jordi Ponsá Serrano, contra el Auto de la Sección Primera de la Sala de lo Contencioso-Administrativo del Tribunal Supremo, de fecha 12 de julio de 2012, que resolvió la inadmisión del recurso de casación núm. 6519-2011, interpuesto por la entidad demandante, y contra la providencia, de fecha 20 de noviembre de 2012, que inadmitió el incidente de nulidad de actuaciones interpuesto contra la resolución precedente. Ha comparecido el Abogado del Estado, en la representación que ostenta, y ha intervenido el Ministerio Fiscal. Ha sido Ponente el Magistrado don Pedro González Trevijano-Sánchez,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8 de enero del 2013 tuvo entrada en el Registro General de este Tribunal el escrito presentado por el Procurador de los Tribunales don Felipe Segundo Juanas Blanco, actuando en nombre y representación de Pegasa 2, S.L., y bajo la dirección letrada del Abogado don Jordi Ponsá Serrano, mediante el cual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Pegasa 2, S.L., e Inversiones Gampell 2, S.L., interpusieron recurso contencioso-administrativo contra la resolución del Tribunal Económico-Administrativo Central, de fecha 11 de septiembre del 2008, relativo al ejercicio del año 2000 del impuesto de sociedades. La cuantía del recurso quedó fijada en 872.082,23 €.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Seguido el procedimiento por sus trámites, con el núm. 408-2008, la Sala de lo Contencioso-Administrativo de la Audiencia Nacional (Sección Segunda) dictó, en fecha 10 de noviembre de 2011, Sentencia desestimatoria de las pretensiones de las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presentado el día 13 de diciembre del 2011, Pegasa 2, S.L., formuló escrito de preparación del recurso de casación contra la Sentencia recaída en la instancia. En dicho escrito puso de manifiesto la intención de interponer recurso de casación y, a su vez, indicó que el recurso iba a fundarse en los motivos previstos en el art. 88.1 d) de la Ley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diligencia de ordenación de fecha 16 de diciembre de 2011, la Sala de lo Contencioso-Administrativo de la Audiencia Nacional tuvo por preparado el recurso de casación. Asimismo, dicho órgano acordó emplazar a la recurrente para que compareciera ante la Sala Tercera del Tribunal Supremo. Una vez recibidas las actuaciones por el órgano ad quem, el día 31 de enero del 2012 la actora interpuso el recurso de casación ante la Sala Tercera del Tribunal Supremo. El recurso de casación fue registrado con el núm. 6519-2011.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providencia de 11 de mayo de 2012, la Sala Tercera del Tribunal Supremo confirió traslado a las partes, a fin que formularan alegaciones sobre la posible concurrencia de la causa de inadmisión, consistente en no haber citado en el escrito de preparación las infracciones normativas o jurisprudenciales que iban a desarrollarse en el escrito de interposición [arts. 88.1 y 89.1 y 93.2 a) LJCA, Auto de Sala de 10 de febrero de 2011, recurso de casación 2927-2010].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5 de junio de 2012 la entidad demandante evacuó el traslado conferido, interesando la admisión a trámite del recurso de casación. En síntesis, afirmó que, habida cuenta de la disparidad de resoluciones al respecto, cabe considerar que el Tribunal Supremo no ha resuelto definitivamente sobre sí es preceptivo indicar, en el escrito de preparación del recurso de casación, las concretas infracciones normativas o jurisprudenciales en que se pretenda sustentar el recurso. Por otro lado, advirtió que los preceptos invocados en la providencia de traslado a las partes no han sido modificados legalmente y, por tanto, no es dable añadir, por vía jurisprudencial, nuevos requisitos en relación con la preparación del reiterado recurso de casación. Por último, apuntó que las decisiones de los jueces y tribunales deben estar orientadas a favorecer la efectividad del derecho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12 de julio del 2012, la Sala Tercera del Tribunal Supremo (Sección Primera) acordó la inadmisión del recurso de casación. La Sala se remitió a la doctrina establecida en ATS de 10 de febrero de 2011 y concluyó que no habiéndose citado, en el escrito de preparación del recurso formalizado por la sociedad recurrente, las infracciones normativas o jurisprudenciales que iban a desarrollarse en el escrito de interposición, procedía la inadmisión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fecha 19 de octubre de 2012, la sociedad demandante promovió incidente de nulidad de actuaciones. En síntesis, alegó la vulneración del derecho a la tutela judicial efectiva en su vertiente de acceso a los recursos legalmente establecidos (art. 24.1 CE), habida cuenta de que el requisito cuyo incumplimiento ha determinado la inadmisión del recurso no está expresamente contemplado por la ley. También destacó que el Tribunal Supremo ha llevado a cabo una interpretación contraria a la mayor efectividad del derecho fundamental al recurso, lo que ha conducido a un resultado desproporcionado.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providencia de 20 de noviembre de 2012 fue inadmitido el incidente de nulidad de actuaciones promovido contra el Auto de inadmisión del recurso de casación. En esencia, el órgano judicial considera que la demandante se limita a discrepar de las razones tenidas en consideración para inadmitir el recurso de casación, asimilando el incidente de nulidad a un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aduce la vulneración del derecho a la tutela judicial efectiva sin indefensión, en su vertiente del acceso a los recursos (art. 24.1 CE). En síntesis, la vulneración denunciada tiene el siguiente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Supremo ha inadmitido el recurso de casación sin brindar la posibilidad de subsanación del trámite de preparación supuestamente defectuoso, en base a la doctrina estatuida en el ATS de fecha 10 de febrero de 2011, cuya fecha de publicación se ignora, tras trece años de vigencia de la norma procesal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novedosa interpretación patrocinada por el Tribunal Supremo adolece de la necesaria racionalidad, pues exige el cumplimiento de un requisito —la indicación de las concretas infracciones normativas y jurisprudenciales en el escrito de preparación— que no está previsto en el art. 89.1 LJCA, precepto este que no ha sido modificado por la Ley 37/2011, de 10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inadmisión del recurso de casación no se acompasa con la exigencia ínsita en el derecho a la tutela judicial efectiva, en orden a favorecer la efectividad del derecho fundamental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fecha 18 de septiembre de 2013, el Magistrado de este Tribunal don Juan José González Rivas solicitó se le tuviera por abstenido en el presente recurso, dada la concurrencia de la causa de abstención prevista en el art. 219.11 de la Ley Orgánica del Poder Judicial (LOPJ), de aplicación supletoria conforme a lo establecido en el art. 80 de la Ley Orgánica del Tribunal Constitucional (LOTC), habida cuenta de que formó parte de la Sección Primera de la Sala Tercera del Tribunal Supremo, órgano este que dictó el Auto de inadmisión de 12 de julio de 2012, del que trae causa el presente recurso de amparo. Por Auto de fecha 19 de septiembre de 2013, la Sección Tercera de este Tribunal resolvió estimar justificada la causa de abstención invocada, apartando definitivamente del conocimiento del presente recurso al referido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octubre de 2013, la Sala Segunda del Tribunal Constitucional acordó admitir a trámite la demanda de amparo. Asimismo, en aplicación de lo dispuesto en el art. 51 LOTC, dispuso dirigir atenta comunicación al Tribunal Supremo y a la Audiencia Nacional a fin de que, en el plazo de diez días, remitieran certificación o fotocopia adverada de las actuaciones correspondientes al recurso de casación núm. 6519-2011 y al recurso núm. 408-2008, respectivamente, debiendo previamente emplazarse para que pudieran comparecer en el recurso de amparo, en el término de diez días,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fecha 28 de octubre de 2013, el Abogado del Estado, en la representación que le es propia, solicitó que se le tuviera por personado y parte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este Tribunal, de fecha 15 de noviembre de 2013, se tuvo por personado y parte al Abogado del Estado, en representación de la Administración del Estado. A tenor de lo dispuesto en el art. 52.1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fecha 16 de diciembre de 2013, la sociedad demandante de amparo formuló sus alegaciones. En esencia, dicha entidad se remite a lo ya manifestado en el escrito de demanda, reiterando las pretensiones interesadas en dicho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presentó sus alegaciones mediante escrito registrado el día 18 de diciembre de 2013. En síntesis, considera que, a la luz de la doctrina constitucional, el Auto de inadmisión combatido en amparo vulnera el derecho al acceso a los recursos que garantiza el art. 24.1 CE. Para el Abogado del Estado el problema constitucional que la demanda suscita radica en la aplicación retrospectiva de las nuevas máximas jurisprudenciales plasmadas en el ATS de 10 de febrero de 2011, las cuales pudieron ser desconocidas en el momento de la preparación del recurso de casación. En el presente caso, la inadmisión del recurso de casación se sustenta, precisamente, en que no se preparó conforme a las referidas máximas. Por tanto, la cuestión principal reside en la irrazonabilidad de una decisión que impone unos requisitos de forma que, razonablemente, pudieron ser desconocidos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Abogado del Estado interesa que se dicte Sentencia cuya doctrina refleje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irrazonablemente contrariando las exigencias mínimas de confianza legítima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de fecha 16 de diciembre de 2013, la sociedad demandante de amparo formuló sus alegaciones. En esencia, dicha entidad se remite a lo ya manifestado en el escrito de demanda, reiterando las pretensiones interesadas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presentó sus alegaciones mediante escrito registrado el 16 de enero de 2014. Rechaza la pretendida vulneración del art. 24.1 CE, pues entiende que la argumentación ofrecida para inadmitir el recurso de casación no incurre en arbitrariedad, falta de razonabilidad o error patente. A mayor abundamiento, añade que el criterio mantenido por el órgano judicial en relación con los requisitos del escrito de preparación del recurso de casación, esto es, la obligación de indicar las concretas infracciones normativas o jurisprudenciales, se desprende del propio tenor del apartado d) del art. 88 LJCA. Por ello, considera que el requisito cuyo incumplimiento ha determinado la inadmisión del referido recurso no viene impuesto por la jurisprudencia, sino por la propia normativa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afirma que cuando la parte demandante formuló el escrito de preparación del recurso de casación —el día 13 de diciembre de 2011— ya estaba vigente la nueva doctrina jurisprudencial iniciada con el ATS 2371/2011, de 10 de febrero; por tanto, nada de extraño tiene que el recurso de casación se inadmitiera en aplicación del criterio establecido en el Auto objeto de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de fecha 4 de noviembre de 2014, el Magistrado de este Tribunal don Ricardo Enríquez Sancho solicitó se le tuviera por abstenido en el presente recurso, dada la concurrencia de la causa de abstención prevista en el art. 219.11 LOPJ, de aplicación supletoria conforme a lo establecido en el art. 80 LOTC, habida cuenta de que, a la sazón, formó parte de la Sección Primera de la Sala Tercera del Tribunal Supremo, órgano este que dictó el Auto de inadmisión de 12 de julio de 2012, del que trae causa el presente recurso de amparo. Por Auto de fecha 6 de noviembre de 2014, la Sala Segunda de este Tribunal resolvió estimar justificada la causa de abstención invocada, apartando definitivamente del conocimiento del presente recurso y de todas sus incidencias al referido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fecha de 17 de marzo de 2015, el Pleno, en su reunión de esa fecha y conforme establece el artículo 10.1 n) de la Ley Orgánica del Tribunal, a propuesta de la Sala Segunda, acuerda recabar para sí el conocimiento del recurso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parte demandante de amparo impugna el Auto de la Sección Primera de la Sala de lo Contencioso-Administrativo del Tribunal Supremo de 12 de julio de 2012, que acordó no admitir a trámite el recurso de casación interpuesto contra la Sentencia de la Sala de lo Contencioso-Administrativo de la Audiencia Nacional (Sección Segunda) de 10 de noviembre de 2011, recaída en el procedimiento ordinario núm. 408-2008. También impugna la providencia mediante la que se inadmitió a trámite el incidente de nulidad de actuaciones, de fecha 20 de noviembre de 2012, promovido contra el Auto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sociedad recurrente, según se expresa con más detalle en los antecedentes de hecho de esta resolución, imputa a las resoluciones recurridas la vulneración de su derecho a la tutela judicial efectiva (art. 24.1 CE), en su vertiente de acceso a los recursos: (i) porque la inadmisión acordada por el Auto impugnado se funda en un requisito de admisibilidad no exigido por la ley; (ii) porque el órgano judicial no brindó la posibilidad de subsanación del trámite de preparación supuestamente defectuoso, tras trece años de vigencia de la norma procesal de aplicación, que no ha sido modificada hasta el momento presente; (iii) porque la decisión de inadmisión no se acompasa con el principio de interpretación más favorable a la efectividad del derecho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problemas planteados en la demanda de amparo han sido, en esencia, ya abordados por este Tribunal en la STC 7/2015, de 22 de enero, en la que hemos tenido la oportunidad de examinar otro supuesto de inadmisión de un recurso de casación por omitirse en el escrito de preparación la cita de las normas y la jurisprudencia que el recurrente reputa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en la referida Sentencia, debe descartarse, en primer lugar, que se haya vulnerado el derecho a la tutela judicial efectiva (art. 24.1 CE) por carecer la decisión judicial de la necesaria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17 de febrero,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Brualla Gómez de la Torre c. España, y de 25 de enero de 2005, caso Puchol Oliver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relevantes son las Sentencias del Tribunal de Estrasburgo recaídas en los casos Sociedad General de Aguas de Barcelona c. España, de 25 de mayo de 2000; Llopis Ruiz c. España, de 7 noviembre 2003, e Ipamark c. España, de 17 de febrero de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breve exposición de la concurrencia de los requisitos de forma exigidos”), alcanzando la conclusión de que uno de esos requisitos ha de ser la cita, siquiera breve, de las normas y la jurisprudencia que se estimen infringidas, en atención a que la fase de preparación del recurso de casación tiene sustantividad propia, sin que pueda quedar reducida a un trámite carente de trascendencia. Desde esa óptica, en el Auto impugnado se razona que la exigencia antes indicada persigue garantizar que la parte recurrida cuente desde un principio con la información necesaria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rechazarse, asimismo, que la exigencia del mencionado requisito viole el derecho a la tutela judicial efectiva (art. 24.1 CE), en su vertiente de acceso a los recursos. 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Unédic contra Francia, § 74), pues la evolución de ésta no es en sí contraria a la correcta administración de justicia, ya que lo contrario impediría cualquier cambio o mejora en la interpretación de las leyes (STEDH de 14 de enero de 2010, caso Atanasovski contra la ex República Yugoslava de Macedonia,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debemos añadir que en el sistema de civil law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common law, en el que el precedente actúa como una norma y el overruling, o cambio de precedente, innova el ordenamiento jurídico, con lo que es posible limitar la retroactividad de la decisión judicial, en el Derecho continental los tribunales no están vinculados por la regla del prospective overruling, rigiendo, por el contrario, el retrospective overruling (sin perjuicio de la excepción que, por disposición legal, establezca el efecto exclusivamente prospectivo de la Sentencia, como así se prevé en el art. 100.7 LJCA en el recurso de casación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tuvimos ocasión de señalarlo ya en nuestra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consideración a lo argumentado en los anteriores fundamentos jurídicos, procede la desestimación del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entidad Pegasa 2,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