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14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Santiago Martínez-Vares García, don Juan Antonio Xiol Ríos, don Pedro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112-2013, promovido por la entidad mercantil Pegasa, 2 S.L., representada por el Procurador de los Tribunales don Felipe Segundo Juanas Blanco y asistida por el Abogado don Jordi Ponsá Serrano, contra el Auto de la Sección Primera de la Sala de lo Contencioso-Administrativo del Tribunal Supremo, de fecha 12 de julio de 2012, que resolvió la inadmisión del recurso de casación núm. 6519-2011, interpuesto por la entidad demandante, y contra la providencia, de fecha 20 de noviembre de 2012, que inadmitió el incidente de nulidad de actuaciones interpuesto contra la resolución precedente. Ha comparecido el Abogado del Estado, en la representación que ostenta, y ha intervenido el Ministerio Fiscal. Ha sido Ponente el Magistrado don Pedro González Trevijano-Sánchez,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enero del 2013 tuvo entrada en el Registro General de este Tribunal el escrito presentado por el Procurador de los Tribunales don Felipe Segundo Juanas Blanco, actuando en nombre y representación de Pegasa 2, S.L., y bajo la dirección letrada del Abogado don Jordi Ponsá Serrano, mediante el cual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Pegasa 2, S.L., e Inversiones Gampell 2, S.L., interpusieron recurso contencioso-administrativo contra la resolución del Tribunal Económico-Administrativo Central, de fecha 11 de septiembre del 2008, relativo al ejercicio del año 2000 del impuesto de sociedades. La cuantía del recurso quedó fijada en 872.082,23 €.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Seguido el procedimiento por sus trámites, con el núm. 408-2008, la Sala de lo Contencioso-Administrativo de la Audiencia Nacional (Sección Segunda) dictó, en fecha 10 de noviembre de 2011, Sentencia desestimatoria de las pretensiones de las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presentado el día 13 de diciembre del 2011, Pegasa 2, S.L., formuló escrito de preparación del recurso de casación contra la Sentencia recaída en la instancia. En dicho escrito puso de manifiesto la intención de interponer recurso de casación y, a su vez, indicó que el recurso iba a fundarse en los motivos previstos en el art. 88.1 d) de la Ley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 fecha 16 de diciembre de 2011, la Sala de lo Contencioso-Administrativo de la Audiencia Nacional tuvo por preparado el recurso de casación. Asimismo, dicho órgano acordó emplazar a la recurrente para que compareciera ante la Sala Tercera del Tribunal Supremo. Una vez recibidas las actuaciones por el órgano ad quem, el día 31 de enero del 2012 la actora interpuso el recurso de casación ante la Sala Tercera del Tribunal Supremo. El recurso de casación fue registrado con el núm. 6519-2011.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providencia de 11 de mayo de 2012, la Sala Tercera del Tribunal Supremo confirió traslado a las partes, a fin que formularan alegaciones sobre la posible concurrencia de la causa de inadmisión, consistente en no haber citado en el escrito de preparación las infracciones normativas o jurisprudenciales que iban a desarrollarse en el escrito de interposición [arts. 88.1 y 89.1 y 93.2 a) LJCA, Auto de Sala de 10 de febrero de 2011, recurso de casación 2927-2010].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5 de junio de 2012 la entidad demandante evacuó el traslado conferido, interesando la admisión a trámite del recurso de casación. En síntesis, afirmó que, habida cuenta de la disparidad de resoluciones al respecto, cabe considerar que el Tribunal Supremo no ha resuelto definitivamente sobre sí es preceptivo indicar, en el escrito de preparación del recurso de casación, las concretas infracciones normativas o jurisprudenciales en que se pretenda sustentar el recurso. Por otro lado, advirtió que los preceptos invocados en la providencia de traslado a las partes no han sido modificados legalmente y, por tanto, no es dable añadir, por vía jurisprudencial, nuevos requisitos en relación con la preparación del reiterado recurso de casación. Por último, apuntó que las decisiones de los jueces y tribunales deben estar orientadas a favorecer la efectividad del derecho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12 de julio del 2012, la Sala Tercera del Tribunal Supremo (Sección Primera) acordó la inadmisión del recurso de casación. La Sala se remitió a la doctrina establecida en ATS de 10 de febrero de 2011 y concluyó que no habiéndose citado, en el escrito de preparación del recurso formalizado por la sociedad recurrente, las infracciones normativas o jurisprudenciales que iban a desarrollarse en el escrito de interposición, procedía la inadmisión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fecha 19 de octubre de 2012, la sociedad demandante promovió incidente de nulidad de actuaciones. En síntesis, alegó la vulneración del derecho a la tutela judicial efectiva en su vertiente de acceso a los recursos legalmente establecidos (art. 24.1 CE), habida cuenta de que el requisito cuyo incumplimiento ha determinado la inadmisión del recurso no está expresamente contemplado por la ley. También destacó que el Tribunal Supremo ha llevado a cabo una interpretación contraria a la mayor efectividad del derecho fundamental al recurso, lo que ha conducido a un resultado desproporcionado.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providencia de 20 de noviembre de 2012 fue inadmitido el incidente de nulidad de actuaciones promovido contra el Auto de inadmisión del recurso de casación. En esencia, el órgano judicial considera que la demandante se limita a discrepar de las razones tenidas en consideración para inadmitir el recurso de casación, asimilando el incidente de nulidad a un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aduce la vulneración del derecho a la tutela judicial efectiva sin indefensión, en su vertiente del acceso a los recursos (art. 24.1 CE). En síntesis, la vulneración denunciada tiene el siguiente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Supremo ha inadmitido el recurso de casación sin brindar la posibilidad de subsanación del trámite de preparación supuestamente defectuoso, en base a la doctrina estatuida en el ATS de fecha 10 de febrero de 2011, cuya fecha de publicación se ignora, tras trece años de vigencia de la norma procesal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novedosa interpretación patrocinada por el Tribunal Supremo adolece de la necesaria racionalidad, pues exige el cumplimiento de un requisito —la indicación de las concretas infracciones normativas y jurisprudenciales en el escrito de preparación— que no está previsto en el art. 89.1 LJCA, precepto este que no ha sido modificado por la Ley 37/2011, de 10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inadmisión del recurso de casación no se acompasa con la exigencia ínsita en el derecho a la tutela judicial efectiva, en orden a favorecer la efectividad del derecho fundamental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fecha 18 de septiembre de 2013, el Magistrado de este Tribunal don Juan José González Rivas solicitó se le tuviera por abstenido en el presente recurso, dada la concurrencia de la causa de abstención prevista en el art. 219.11 de la Ley Orgánica del Poder Judicial (LOPJ), de aplicación supletoria conforme a lo establecido en el art. 80 de la Ley Orgánica del Tribunal Constitucional (LOTC), habida cuenta de que formó parte de la Sección Primera de la Sala Tercera del Tribunal Supremo, órgano este que dictó el Auto de inadmisión de 12 de julio de 2012, del que trae causa el presente recurso de amparo. Por Auto de fecha 19 de septiembre de 2013, la Sección Tercera de este Tribunal resolvió estimar justificada la causa de abstención invocada, apartando definitivamente del conocimiento del presente recurso al referido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octubre de 2013, la Sala Segunda del Tribunal Constitucional acordó admitir a trámite la demanda de amparo. Asimismo, en aplicación de lo dispuesto en el art. 51 LOTC, dispuso dirigir atenta comunicación al Tribunal Supremo y a la Audiencia Nacional a fin de que, en el plazo de diez días, remitieran certificación o fotocopia adverada de las actuaciones correspondientes al recurso de casación núm. 6519-2011 y al recurso núm. 408-2008, respectivamente, debiendo previamente emplazarse para que pudieran comparecer en el recurso de amparo, en el término de diez días,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fecha 28 de octubre de 2013, el Abogado del Estado, en la representación que le es propia, solicitó que se le tuviera por personado y parte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Segunda de este Tribunal, de fecha 15 de noviembre de 2013, se tuvo por personado y parte al Abogado del Estado, en representación de la Administración del Estado. A tenor de lo dispuesto en el art. 52.1 LOTC, se dio vista de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fecha 16 de diciembre de 2013, la sociedad demandante de amparo formuló sus alegaciones. En esencia, dicha entidad se remite a lo ya manifestado en el escrito de demanda, reiterando las pretensiones interesadas en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sus alegaciones mediante escrito registrado el día 18 de diciembre de 2013. En síntesis, considera que, a la luz de la doctrina constitucional, el Auto de inadmisión combatido en amparo vulnera el derecho al acceso a los recursos que garantiza el art. 24.1 CE. Para el Abogado del Estado el problema constitucional que la demanda suscita radica en la aplicación retrospectiva de las nuevas máximas jurisprudenciales plasmadas en el ATS de 10 de febrero de 2011, las cuales pudieron ser desconocidas en el momento de la preparación del recurso de casación. En el presente caso, la inadmisión del recurso de casación se sustenta, precisamente, en que no se preparó conforme a las referidas máximas. Por tanto, la cuestión principal reside en la irrazonabilidad de una decisión que impone unos requisitos de forma que, razonablemente, pudieron ser desconocidos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Abogado del Estado interesa que se dicte Sentencia cuya doctrina refleje que “el derecho fundamental de acceso al recurso garantiza a los justiciables que las nuevas máximas jurisprudenciales que imponen más severos requisitos de forma al escrito de preparación de un recurso de casación —cuyo incumplimiento puede determinar la inadmisión del recurso— no se aplicarán irrazonablemente contrariando las exigencias mínimas de confianza legítima de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fecha 16 de diciembre de 2013, la sociedad demandante de amparo formuló sus alegaciones. En esencia, dicha entidad se remite a lo ya manifestado en el escrito de demanda, reiterando las pretensiones interesadas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sus alegaciones mediante escrito registrado el 16 de enero de 2014. Rechaza la pretendida vulneración del art. 24.1 CE, pues entiende que la argumentación ofrecida para inadmitir el recurso de casación no incurre en arbitrariedad, falta de razonabilidad o error patente. A mayor abundamiento, añade que el criterio mantenido por el órgano judicial en relación con los requisitos del escrito de preparación del recurso de casación, esto es, la obligación de indicar las concretas infracciones normativas o jurisprudenciales, se desprende del propio tenor del apartado d) del art. 88 LJCA. Por ello, considera que el requisito cuyo incumplimiento ha determinado la inadmisión del referido recurso no viene impuesto por la jurisprudencia, sino por la propia normativa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afirma que cuando la parte demandante formuló el escrito de preparación del recurso de casación —el día 13 de diciembre de 2011— ya estaba vigente la nueva doctrina jurisprudencial iniciada con el ATS 2371/2011, de 10 de febrero; por tanto, nada de extraño tiene que el recurso de casación se inadmitiera en aplicación del criterio establecido en el Auto objeto de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de fecha 4 de noviembre de 2014, el Magistrado de este Tribunal don Ricardo Enríquez Sancho solicitó se le tuviera por abstenido en el presente recurso, dada la concurrencia de la causa de abstención prevista en el art. 219.11 LOPJ, de aplicación supletoria conforme a lo establecido en el art. 80 LOTC, habida cuenta de que, a la sazón, formó parte de la Sección Primera de la Sala Tercera del Tribunal Supremo, órgano este que dictó el Auto de inadmisión de 12 de julio de 2012, del que trae causa el presente recurso de amparo. Por Auto de fecha 6 de noviembre de 2014, la Sala Segunda de este Tribunal resolvió estimar justificada la causa de abstención invocada, apartando definitivamente del conocimiento del presente recurso y de todas sus incidencias al referido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fecha de 17 de marzo de 2015, el Pleno, en su reunión de esa fecha y conforme establece el artículo 10.1 n) de la Ley Orgánica del Tribunal, a propuesta de la Sala Segunda, acuerda recabar para sí el conocimiento del recurso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parte demandante de amparo impugna el Auto de la Sección Primera de la Sala de lo Contencioso-Administrativo del Tribunal Supremo de 12 de julio de 2012, que acordó no admitir a trámite el recurso de casación interpuesto contra la Sentencia de la Sala de lo Contencioso-Administrativo de la Audiencia Nacional (Sección Segunda) de 10 de noviembre de 2011, recaída en el procedimiento ordinario núm. 408-2008. También impugna la providencia mediante la que se inadmitió a trámite el incidente de nulidad de actuaciones, de fecha 20 de noviembre de 2012, promovido contra el Auto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sociedad recurrente, según se expresa con más detalle en los antecedentes de hecho de esta resolución, imputa a las resoluciones recurridas la vulneración de su derecho a la tutela judicial efectiva (art. 24.1 CE), en su vertiente de acceso a los recursos: (i) porque la inadmisión acordada por el Auto impugnado se funda en un requisito de admisibilidad no exigido por la ley; (ii) porque el órgano judicial no brindó la posibilidad de subsanación del trámite de preparación supuestamente defectuoso, tras trece años de vigencia de la norma procesal de aplicación, que no ha sido modificada hasta el momento presente; (iii) porque la decisión de inadmisión no se acompasa con el principio de interpretación más favorable a la efectividad del derecho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problemas planteados en la demanda de amparo han sido, en esencia, ya abordados por este Tribunal en la STC 7/2015, de 22 de enero, en la que hemos tenido la oportunidad de examinar otro supuesto de inadmisión de un recurso de casación por omitirse en el escrito de preparación la cita de las normas y la jurisprudencia que el recurrente reputa infringidas.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establecida en la referida Sentencia, debe descartarse, en primer lugar, que se haya vulnerado el derecho a la tutela judicial efectiva (art. 24.1 CE) por carecer la decisión judicial de la necesaria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ha declarado que “corresponde al Tribunal Supremo la última palabra sobre la admisibilidad de los recursos de casación ante él interpuestos, salvo lo dispuesto en materia de garantías constitucionales (art. 123 CE)” (STC 37/1995, de 7 de febrero, FJ 6), por lo que el control constitucional que este Tribunal debe realizar de las resoluciones judiciales dictadas sobre los presupuestos o requisitos de admisión de los recursos tiene carácter externo, siendo, si cabe, más limitado en lo referido al recurso de casación, pues (i) el Tribunal Supremo tiene encomendada la función de interpretar la ley con el valor complementario que atribuye a su jurisprudencia el Código civil y (ii) el recurso de casación tiene, a su vez, naturaleza extraordinaria, de donde se sigue que su régimen procesal es más estricto (SSTC 37/1995, de 17 de febrero, FJ 5; 248/2005, de 10 de octubre, FJ 2; 100/2009, de 27 de abril, FJ 4,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recordar que el Tribunal Europeo de Derechos Humanos ha señalado que la manera en la que se aplica el art. 6.1 del Convenio a este recurso extraordinario puede depender de particularidades derivadas de la apreciación de conjunto del proceso tramitado y del papel que desempeñe el tribunal de casación, pudiendo las condiciones de admisión de un recurso de casación ser más rigurosas que las propias de un recurso que haya de resolverse en grado de apelación (SSTEDH de 19 de diciembre de 1997, caso Brualla Gómez de la Torre c. España, y de 25 de enero de 2005, caso Puchol Oliver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relevantes son las Sentencias del Tribunal de Estrasburgo recaídas en los casos Sociedad General de Aguas de Barcelona c. España, de 25 de mayo de 2000; Llopis Ruiz c. España, de 7 noviembre 2003, e Ipamark c. España, de 17 de febrero de 2004, que presentan en común juzgar resoluciones en las que nuestro Tribunal Supremo inadmitió recursos de casación por considerar que los recurrentes no habían justificado en sus respectivos escritos procesales que la infracción de normas estatales o comunitarias había sido relevante y determinante del fallo de la Sentencia recurrida. El Tribunal Europeo concluyó con la desestimación de las respectivas demandas, en la medida en que la interpretación que deba darse a los preceptos de la Ley reguladora de la jurisdicción contencioso-administrativa (LJCA) y a las condiciones de su aplicación era una cuestión que dependía de los jueces ordinarios, sin que en estos casos su interpretación pudiera tacharse de arbitraria o irrazonable o de que dificultase la equidad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enmarcada la cuestión, la exigencia de que el escrito de preparación del recurso de casación contenga la cita, siquiera sucinta, de las normas y jurisprudencia que se estimen infringidas, entra dentro de las facultades jurisprudenciales que corresponden al Tribunal Supremo en la interpretación de los requisitos de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Supremo, en el Auto que es objeto de impugnación en el presente recurso, ha afrontado la interpretación del art. 89.1 LJCA (precepto que exige que en el escrito de preparación del recurso de casación se exprese “la intención de interponer el recurso, con breve exposición de la concurrencia de los requisitos de forma exigidos”), alcanzando la conclusión de que uno de esos requisitos ha de ser la cita, siquiera breve, de las normas y la jurisprudencia que se estimen infringidas, en atención a que la fase de preparación del recurso de casación tiene sustantividad propia, sin que pueda quedar reducida a un trámite carente de trascendencia. Desde esa óptica, en el Auto impugnado se razona que la exigencia antes indicada persigue garantizar que la parte recurrida cuente desde un principio con la información necesaria para adoptar la posición procesal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Tribunal Supremo ha tenido en cuenta la finalidad particular del trámite de preparación en el marco general del recurso de casación y ha orientado la nueva exigencia a la mejor consecución de ese fin. Por ello, puede decirse que el Auto impugnado no sólo constituye un ejercicio legítimo de las facultades interpretativas que el art. 123 CE reserva al Tribunal Supremo, sino que contiene, asimismo, una ponderación suficiente de los fines propios de la norma y de las consecuencias que su aplicación genera en la esfera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rechazarse, asimismo, que la exigencia del mencionado requisito viole el derecho a la tutela judicial efectiva (art. 24.1 CE), en su vertiente de acceso a los recursos. Debemos comenzar recordando que, repetidamente, este Tribunal ha declarado que la selección de normas aplicables y su interpretación corresponde, en principio, a los jueces y tribunales ordinarios en el ejercicio de la función jurisdiccional que con carácter exclusivo les atribuye el art. 117.3 CE. El control de este Tribunal sólo abarcará el examen de si se ha realizado una selección o interpretación arbitraria, manifiestamente irrazonable o fruto de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ha señalado que las exigencias de seguridad jurídica y de protección de la confianza legítima de los litigantes no generan un derecho adquirido a una determinada jurisprudencia, por más que hubiera sido constante (STEDH de 18 de diciembre de 2008, caso Unédic contra Francia, § 74), pues la evolución de ésta no es en sí contraria a la correcta administración de justicia, ya que lo contrario impediría cualquier cambio o mejora en la interpretación de las leyes (STEDH de 14 de enero de 2010, caso Atanasovski contra la ex República Yugoslava de Macedonia,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debemos añadir que en el sistema de civil law en que se desenvuelve la labor jurisprudencial encomendada al Tribunal Supremo español, la jurisprudencia no es, propiamente, fuente del Derecho —las Sentencias no crean la norma—, por lo que no son miméticamente trasladables las reglas que se proyectan sobre el régimen de aplicación de las leyes. A diferencia del sistema del common law, en el que el precedente actúa como una norma y el overruling, o cambio de precedente, innova el ordenamiento jurídico, con lo que es posible limitar la retroactividad de la decisión judicial, en el Derecho continental los tribunales no están vinculados por la regla del prospective overruling, rigiendo, por el contrario, el retrospective overruling (sin perjuicio de la excepción que, por disposición legal, establezca el efecto exclusivamente prospectivo de la Sentencia, como así se prevé en el art. 100.7 LJCA en el recurso de casación en interés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tuvimos ocasión de señalarlo ya en nuestra STC 95/1993, de 22 de marzo, en la que subrayamos que la Sentencia que introduce un cambio jurisprudencial “hace decir a la norma lo que la norma desde un principio decía, sin que pueda entenderse que la jurisprudencia contradictoria anterior haya alterado esa norma, o pueda imponerse como Derecho consuetudinario frente a lo que la norma correctamente entendida dice”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concurren las excepcionales circunstancias apreciadas en el caso resuelto en la STC 7/2015, de 22 de enero, en el que la parte, con notoria diligencia, procedió a complementar el escrito de preparación inicialmente presentado para ajustarlo al nuevo criterio jurisprudencial tan pronto como tuvo conocimiento de ello, conducta procesal que el Tribunal Supremo no ponderó, lesionando así el derecho fundamental reconocido en el art. 24.1 CE. En este caso, la parte no procedió del modo expuesto, ni siquiera después de que le fuera notificada la providencia mediante la que el Tribunal Supremo abría el trámite de alegaciones sobre la posible concurrencia de la causa de inadmisión derivada del defecto 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consideración a lo argumentado en los anteriores fundamentos jurídicos, procede la desestimación del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entidad Pegasa 2,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