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27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1664-2012, promovido por las mercantiles Endesa S.A. y Endesa Generación S.A., representadas por el Procurador de los Tribunales don José Guerrero Tramoyeres y asistida por los Abogados don Juan José Lavilla Rubira y don José María Barrios Garrido, contra el Auto de la Sección Primera de la Sala de lo Contencioso-Administrativo del Tribunal Supremo de 30 de junio de 2011, que acordó inadmitir el recurso de casación núm. 6236-2010, y contra el Auto de 19 de enero de 2012 que desestimó el incidente de nulidad de actuaciones promovido contra aquél. Ha comparecido y formulado alegaciones el Abogado del Estado, en la representación que ostenta, y ha intervenido el Ministerio Fiscal. Ha sido Ponente la Magistrada doña Encarnación Roca Trias,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marzo de 2012 tuvo entrada en el Registro General de este Tribunal escrito presentado por el Procurador de los Tribunales don José Guerrero Tramoyeres, actuando en nombre y representación de las mercantiles Endesa, S.A., y Endesa Generación, S.A., y bajo la dirección letrada de los Abogados don Juan José Villa Rubira y don José María Barrios Garrido,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representación procesal de las entidades Endesa, S.A., y Endesa Generación, S.A., se interpuso recurso contencioso-administrativo contra la resolución tácita que acuerda la desestimación por silencio del recurso interpuesto contra la resolución del Consejo de Administración de la Comisión Nacional de Energía de fecha de 24 de abril de 2008, por la que se determinan las obligaciones de pago de Endesa Generación, S.A., en aplicación de la Orden ITC/3315/2007, por la que se regula para el año 2006 la minoración de la retribución de la actividad de producción de energía eléctrica en el equivalente al valor de los derechos de emisión de gases de efecto invernadero asignados gratuitamente.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632-2008, la Sala de lo Contencioso-Administrativo de la Audiencia Nacional (Sección Primera) dictó Sentencia desestimatoria con fecha 14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se preparó recurso de casación por las mercantiles demandantes de amparo, que lo fue mediante escrito registrado en la Audiencia Nacional el 8 de octubre de 2010. En él se hizo constar su intención de interponer recurso de casación conforme a los requisitos formales señalados en el art. 89.1 de la Ley reguladora de la jurisdicción contencioso-administrativa (LJCA), la Sala ante la que se prepara el recurso, la legitimación para interponerlo, el plazo para la presentación del escrito, el carácter recurrible de la resolución impugnada así como motivo de la preparación del recurso, a saber, entender que la Sentencia impugnada se ha dictado con vulneración de las normas del ordenamiento jurídico aplicable y con infracción de las normas reguladoras de la Sentencia lo que, anuncia, se detallará en el escrito de interposición del recurso. Con fecha de 20 de octubre de 2010, fue notificada la providencia de 14 de octubre de 2010 dictada por la Sala de lo Contencioso-Administrativo de la Audiencia Nacional, por la que se tiene por preparado el recurso el recurso de casación y se emplaza a las partes para comparecer ante la Sala de lo Contencioso-Administrativo del Tribunal Supremo, en el plazo de treinta días, si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7 de diciembre de 2010, las actoras interpusieron recurso de casación ante el Tribunal Supremo contra la citada Sentencia. Recurso que fue tenido por presentado por providencia de 10 de diciembre de 2010 y que fue registrado con el número 6236-2010.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25 de abril de 2011 se dictó providencia por la que la Sala Tercera del Tribunal Supremo puso de manifiesto a las partes para alegaciones, la posible concurrencia de la causa de inadmisión consistente en “no haber citado en el escrito de preparación del recurso de casación las infracciones normativas o jurisprudenciales que la recurrente desarrollará en el escrito de interposición (artículos 88.1; 89.1 y 93.2.a) de la LJCA y Auto de la Sala de 10 de febrero de 2011,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16 de mayo de 2011, las entidades demandantes formalizaron escrito de oposición al posible motivo de inadmisión expuesto en la providencia de 25 de abril de 2011. Alegan, en síntesis, que el motivo de inadmisión citado resultaba contrario a la jurisprudencia consolidada que, de forma unánime, había venido manteniendo la Sala, siendo el mismo contrario al derecho fundamental a la igualdad en la aplicación de la ley (art. 14 CE), a los principios de confianza legítima y seguridad jurídica consagrados en el art. 9.3 CE y al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30 de junio de 2011, la Sala Tercera del Tribunal Supremo (Sección Primera) acordó la inadmisión del recurso de casación. En apoyo de su decisión, la Sala se remitió a la doctrina establecida en los AATS de 14 de febrero de 2011 y 10 de febrero de 2011 (recursos núms. 6251-2010 y 2927-2010) y concluyó, tras proceder a la transcripción de los fundamentos jurídicos tercero y cuarto de la última de las resoluciones citadas, que si bien la parte recurrente expresó en el escrito de preparación su intención de interponer el recurso de casación por los motivos incardinables en los apartados c) y d) del art. 88.1 LJCA, no citó la normativa supuestamente infringida por la Sala de instancia respecto de ninguno de ellos, por lo que el recurso resultaba inadmisible, sin que frente a dicha conclusión pudieran prevalecer las razones expuestas por la actora en 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3 de octubre de 2011, la parte demandante de amparo promovió incidente de nulidad de actuaciones. En síntesis, alegó la vulneración (i) del derecho a la tutela judicial efectiva (art. 24.1 CE) por incurrir el Auto impugnado en incongruencia omisiva al no dar respuesta a dos de las alegaciones planteadas en su escrito; (ii) del derecho a la tutela judicial efectiva (art. 24.1 CE), en su dimensión de acceso a los recursos; (iii) y del derecho a la igualdad en la aplicación judicial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19 de enero de 2012, la Sala Tercera del Tribunal Supremo (Sección Primera) desestimó el incidente de nulidad de actuaciones. La Sala aprecia, tras rechazar la alegada incongruencia omisiva que se imputa al Auto cuya nulidad se insta, que el incidente planteado se limita, en lo fundamental, a discrepar con la declaración de inadmisión del recurso de casación por ella efectuada y con los razonamientos jurídicos que fundan dicho pronunciamiento, utilizando el incidente de nulidad de actuaciones como si de un recurso de súplica se tratara, reiterando lo alegado en el escrito de alegaciones y que ha recibido contestación en el Auto impugnado. Advierte que es reiterada la doctrina constitucional que admite sin reservas el cambio jurisprudencial, siempre que no sea arbitrario y esté motivado, sosteniendo, después de hacer referencia a varias Sentencias de este Tribunal, la posibilidad de inadmitir un recurso de casación por un criterio interpretativo posterior al momento de presentación del escrito de preparación del recurso, acogiéndose al “mínimo efecto retroactivo”. Estima que “[e]n caso contrario, quedaría petrificada la nueva interpretación jurisprudencial a aquellos escritos de interposición de recursos que fueron presentados debidamente ante los Tribunales de Justicia a partir del momento del ‘anuncio’ del cambio de criterio, ‘anuncio’ a que no están obligados los órganos jurisdiccionales, tal y como tiene asentada la doctrina constitucional referida”. Asimismo, considera que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y que “[e]l único límite temporal al que se limitan los cambios de criterio jurisprudenciales, de conformidad con la doctrina del Tribunal Constitucional, es a las situaciones jurídicas que gozan de la protección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mercantiles demandantes de amparo basan su recurso en las siguientes vulneraciones que, de manera sucinta, se exponen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de amparo se denuncia que los Autos de 30 de junio de 2011 y 19 de enero de 2012, han vulnerado su derecho a la tutela judicial efectiva (art. 24.1 CE), en su vertiente de acceso a los recursos. Las recurrentes consideran que exigir el requisito consistente en anticipar en el escrito de preparación del recurso de casación los concretos preceptos o la jurisprudencia que se reputan infringidos, también cuando la resolución impugnada proceda de la Audiencia Nacional, es excesivamente riguroso y formalista, y no sólo se aparta sin una justificación razonable de los requisitos que hasta la fecha venían siendo exigibles conforme a la doctrina jurisprudencial de la Sala de lo Contencioso-Administrativo del Tribunal Supremo anterior al Auto de 10 de febrero de 2011, sino que, además, añade requisitos que no tienen cobertura legal en la Ley reguladora de la jurisdicción contenciosa-administrativa, incurriendo, por consiguiente, en arbitrariedad y falta de proporcionalidad. Las demandantes de amparo consideran, en síntesis, que fuera de los casos expresamente previstos en el art. 89.2 LJCA, la Ley no exige que en el escrito preparatorio del recurso se haya de hacer mención, ni tan siquiera sucinta, a la fundamentación jurídica del recurso con cita expresa de las normas y jurisprudencia infringidas, pues se trata de una cuestión de fondo que pertenece a la fase de interposición, tal y como expresamente prevé el art. 92.1 LJCA. Lo contrario —añaden— supondría equiparar los requisitos que se exigen respecto a los escritos de preparación de recursos interpuestos contra Sentencias de la Audiencia Nacional a los que se exigen para los escrito interpuestos contra Sentencias de los Tribunales de Justicia, obviando el “presupuesto sobreañadido” que para la inadmisión de estos últimos exige el art. 89.2 LJCA. Además, estiman, que ningún menoscabo puede causar a la parte recurrida la omisión por la parte recurrente de las normas y jurisprudencia que, en concreto, se consideran infringidas en el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mercantiles demandantes de amparo también consideran vulnerado el derecho a la tutela judicial efectiva (art. 24.1 CE), por fundarse la inadmisión de su recurso de casación en la omisión del citado requisito que no fue exigido por la Sala hasta el Auto de 10 de febrero de 2011. Entienden que al presentarse su escrito de preparación el 8 de octubre de 2010, se produjo una aplicación retroactiva de la citada jurisprudencia. Añaden que, teniendo en cuenta el “radical e inesperado cambio jurisprudencial” que se produjo tras el dictado del citado Auto, el órgano judicial debió adoptar medidas de flexibilización para no obstaculizar el ejercicio de su derecho (al respecto, cita la STC 143/2011, de 26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Igualmente, las demandantes de amparo entienden vulnerado su derecho a la igualdad en la aplicación de la ley (art. 14 CE). Consideran que se cumplen los requisitos requeridos por la jurisprudencia constitucional para estimarla producida: cambio jurisprudencial, identidad de Sala y Sección, y falta de una de justificación razonable y suficiente del cambio de criterio. En apoyo de dicha afirmación se citan como término de comparación los Autos del Tribunal Supremo de 2 de diciembre de 2010 y 3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2012, la Sección Primera de este Tribunal, acordó, por unanimidad, con arreglo a lo previsto en el art. 50.1 a) de la Ley Orgánica del Tribunal Constitucional (LOTC), inadmitir a trámite la demanda de amparo, dada la manifiesta inexistencia de violación de un derecho fundamental tutelable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septiembre de 2012, y de conformidad con lo dispuesto en el art. 50.3 LOTC, el Ministerio Fiscal ante el Tribunal Constitucional interpuso recurso de súplica contra la citada providencia de 4 de julio de 2012, solicitando que se deje sin efecto la resolución de inadmisión, sin perjuicio de que se adopte la resolución procedente en orden a la admisión o no, por otras causas,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dictado por la Sección Primera de fecha de 17 de diciembre de 2012, se acordó estimar el recurso de súplica interpuesto por el Ministerio Fiscal y, en consecuencia, dejar sin efecto la providencia de 4 de julio de 2012, que declaró la inadmisión del presente recurso de amparo, debiéndose reponer las actuaciones al momento anterior a dictarse la providencia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mayo de 2013, la Sala Primera del Tribunal Constitucional, de conformidad con lo dispuesto en el art. 11.2 LOTC,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número 6236-2010 y al recurso núm. 632-2008,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14 de junio de 2013, el Abogado del Estado, en la representación que ostenta, se personó en el procedimiento, suplicando que, con la admisión del mismo, se le tenga por personado y parte en el presente recurso de amparo, entendiéndose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Sala Primera de este Tribunal, de fecha 17 de junio de 2013, se tuvieron por recibidos los testimonios de las actuaciones remitidos por el Tribunal Supremo y por la Audiencia Nacional, así como el escrito del Abogado del Estado a quien se tuvo por personado y parte en representación de la Administración del Estado. A tenor de lo dispuesto en el artículo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fecha de 17 de julio de 2013, las mercantiles demandantes de amparo presentaron escrito de alegaciones remitiéndose con carácter general a los hechos y fundamentos de Derecho alegados en la demanda de amparo, dándolos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sus alegaciones mediante escrito registrado el 16 de julio de 2013. Comienza su escrito descartando que se haya vulnerado el derecho a la igualdad en la aplicación judicial de la ley (art. 14 CE). A su juicio, el ATS de 30 de junio de 2011, por el que se inadmite el recurso de casación interpuesto por las demandantes de amparo, no hace sino aplicar la línea jurisprudencial iniciada por el ATS de 10 de febrero de 2011, proseguida —añade— en decenas de autos de inadmisión dictados entre ambas fechas por la misma Sección y Sala, siendo irrelevante que existan resoluciones aisladas que se aparten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art. 24.1 CE, el Abogado del Estado, tras recordar la doctrina constitucional sobre la inadmisión del recurso de casación contencioso-administrativo por defectos insubsanables del escrito de preparación, analiza e interpreta el art. 89.1 LJCA; en especial, el contenido de la expresión “los requisitos de forma exigidos”. Considera que “’los requisitos de forma’ exigidos para el escrito de preparación son los que claramente figuran en la ley, pero no necesariamente estos, sino los que el Tribunal de casación pueda añadir al interpretar y aplicar la ley procesal sin desbordar los límites constitucionales”, es decir, sin arbitrariedad o irrazonabilidad. Estima, al respecto, que si bien desde el plano de la legalidad, es muy discutible la nueva exigencia jurisprudencial contenida en el ATS de 10 de febrero de 2011, la misma no puede calificarse ni de arbitraria ni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advierte que el auténtico problema constitucional que la demanda suscita, y en el que la parte tiene razón, radica en la “aplicación retrospectiva de las nuevas máximas jurisprudenciales” del citado Auto, que no eran conocidas al tiempo de preparación del recurso de casación. Argumenta que es irrazonable exigir para la realización de un acto procesal agotado, el cumplimiento de unos requisitos de forma que no existían en el momento en que se efectuó dicho acto procesal; requisitos que, por ello, la parte no tenía ninguna posibilidad de conocer ni de cumplir. A su juicio,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lo cual provoca, no una violación del principio de seguridad jurídica (art. 9.3 CE), que no resulta protegido por el recurso de amparo, sino “una aplicación irrazonable, por contraria a la confianza legítima, de las nuevas máximas jurisprudenciales determinantes de la admisión o inadmisión del recurso de casación, que por ello se traducen en una violación del derecho de acceso al recurso”. Añade, que “[l]a razonabilidad se extiende no sólo la interpretación que se hace de la norma, sino la forma en que esa interpretación se aplica a los supuestos de hecho sujetos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Abogado del Estado apoya que se dicte una Sentencia con arreglo a Derecho, en la que la doctrina que dicte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sus alegaciones mediante escrito registrado el 4 de septiembre de 2013, en el que interesa se dicte Sentencia por la que se la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hecho, el Fiscal inicia su argumentación haciendo referencia a las vulneraciones aducidas por las recurrentes y a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 Dicho esto estima que no se ha producido la denunciada vulneración del art. 14 CE, por cuanto no se dan los requisitos que exige la doctrina constitucional para entender producida la misma. En concreto considera que si bien en el presente caso estarían acreditados elementos de posible comparación —supuestos resueltos con distinto criterio e identidad de órgano judicial—, no puede hablarse ni de un cambio de criterio u orientación propiamente atribuible al Auto impugnado de 30 de junio de 2011, ni de una respuesta que resulte ser ocasional, ad personam o ad casum irreflexiva y carente de motivación y razonamientos. Por el contrario, la resolución impugnada incorpora, a su juicio, un criterio que es “secuela o seguimiento” de un cambio jurisprudencial consciente destinado a ser mantenido “con cierta continuidad con fundamento en razones jurídicas objetivas”, y que se motiva remitiéndose al ATS de 10 de febrero de 2011. A lo dicho añade que las demandantes no mencionan ni acreditan, como era su carga, la existencia de resoluciones que coetáneamente o con posterioridad al Auto impugnado hayan mantenido la posición anterior al ATS de 10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descarta, igualmente, que se haya vulnerado el derecho a la tutela judicial efectiva (art. 24.1 CE), en su vertiente de acceso a los recursos legalmente establecidos. A su juicio, el Auto de 10 de febrero de 2011, al que se remite el Auto impugnado, “no puede calificarse de inmotivado, irreflexivo, arbitrario o no razonado o irrazonable o/y carente de todo apoyo legal y, en consecuencia, tampoco, desde esta perspectiva, cabría calificarse de ilegítimo constitucionalmente hablando”. Argumenta que puede mantenerse sin dificultad que la obligación de indicar ya en la fase de preparación del recurso de casación tanto en el concreto o concretos motivos en que se fundará el recurso como también los concretos preceptos o jurisprudencia que se reputan infringidos o el contenido de las infracciones normativas o jurisprudenciales que se pretendan denunciar y desarrollar en el escrito de interposición del recurso de casación, “fluye del propio tenor de los apartados c) y d) del art. 88.1. LJCA”. También rechaza la posible vulneración del art. 24.1 CE, como consecuencia de la aplicación retroactiva de la nueva línea jurisprudencial dictada por la Sala de lo Contencioso-Administrativo del Tribunal Supremo tras el Auto de 10 de febrero de 2011. Considera, tras admitir la crudeza de la situación, que el hecho de que no se hubieran adoptado medidas de flexibilización y subsanación, como así propugnaban los demandantes, no vulnera derecho fundamental alguno. A su juicio, si bien dichas medidas hubieran resultado deseables, sin embargo, no tienen carácter obligatorio alguno al encontramos ante el derecho de acceso a los recursos y, particularmente, en sede de recurso de casación, cuya decisión corresponde al máximo intérprete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23 de abril de 2015,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30 de junio de 2011, que acordó no admitir a trámite el recurso de casación interpuesto contra la Sentencia de la Sala de lo Contencioso-Administrativo de la Audiencia Nacional (Sección Primera) de 14 de septiembre de 2010, recaída en el procedimiento ordinario núm. 632-2008. También impugna el Auto de 19 de enero de 2012 que desestimó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recurrentes,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(iii) la vulneración de su derecho a la igualdad en la aplicación judicial de la Ley (art. 14 CE), pues entienden que se ha aplicado una interpretación jurisprudencial contradictoria con las resoluciones dictadas con anterioridad por el órgano judicial sin ofrecer una justificación razonable y suficiente del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noviembre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las recurrentes reputen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su excepcionamiento por disposición legal que establezca el efecto exclusivamente prospectivo de la Sentencia, como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Endesa, S.A., y Endesa Generación,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1644-2012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Considero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los votos particulares formulados a las SSTC 7/2015, de 22 de enero, y 16/2015, de 16 de febrero, a los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