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número 5157-2012, promovido por doña María de los Ángeles Jordá Escola, representada por el Procurador de los Tribunales don Jorge Deleito García y asistida por la Abogada doña Laura Bujons Sampere, contra el Auto de la Sección Primera de la Sala de lo Contencioso-Administrativo del Tribunal Supremo de 10 de noviembre de 2011, que declaró la inadmisión del recurso de casación núm. 2933-2010. Ha comparecido el Abogado del Estado, en la representación que ostenta,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septiembre de 2012, don Jorge Deleito García, Procurador de los Tribunales, actuando en nombre y representación de doña María de los Ángeles Jordá Escola,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de 21 de diciembre de 2006, por la que se desestima la reclamación económico-administrativa formulada frente a la resolución del Tribunal Económico-Administrativo Regional de Cataluña de fecha 9 de octubre de 2003, recaída en el expediente núm. 08-10593-2000, 10594-2000 y 10595-2000 (acumulados), relativa al impuesto sobre la renta de las personas físicas correspondiente al ejercicio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seno del procedimiento ordinario núm. 439-2007, dictó Sentencia de 15 de abril de 2010 la Sección Segunda de la Sala de lo Contencioso-Administrativo de la Audiencia Nacional, confirmatoria de la resolución del Tribunal Económico-Administrativo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30 de abril de 2010, la representación procesal de la demandante de amparo registró escrito de preparación de recurso de casación contra la Sentencia referida, anunciándolo al amparo del art. 88.1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3 de mayo de 2011, la Sala de lo Contencioso-Administrativo del Tribunal Supremo acordó conceder a las partes del recurso de casación núm. 2933-2010 un plazo de diez días para que formularan alegaciones acerca de la posible concurrencia de la siguiente causa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haber citado en el escrito de preparación del recurso de casación las infracciones normativas o jurisprudenciales que la recurrente desarrollará en el escrito de interposición [artículos 88.1; 89.1 y 93.2 a) LRJCA y auto de la Sala de 10 de febrero de 2011,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presentó alegaciones en dicho trámite mediante escrito de fecha 31 de mayo de 2011, en el que solicitaba la admisión del recurso por haber cumplido los requisitos exigidos por la Sala de forma estable y consolidada para los escritos de preparación de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noviembre de 2011, la Sala Tercera del Tribunal Supremo (Sección Primera) declaró la inadmisión del recurso de casación. La resolución se remite al ATS de 10 de febrero de 2011, dictado en el recurso de casación núm. 2927-2010, a la vista de cuya doctrina concluye que, al no contener el escrito de preparación del recurso la cita de las infracciones normativas o jurisprudenciales denunciadas, procedía la inadmisión del mismo por su defectuosa preparación. En la referida resolución se argumenta que: (i) la exigencia de cita de las infracciones normativas o jurisprudenciales que se estiman infringidas responde a una concepción de la fase de preparación como trámite con sustantividad propia, que no constituye un mero formalismo carente de trascendencia y que persigue garantizar que la parte recurrida cuente desde un principio con la información necesaria para adoptar la posición procesal que estime pertinente; (ii) el cambio de criterio interpretativo operado por el Auto de 10 de febrero de 2011, dictado en el recurso de casación antes citado, culmina una evolución jurisprudencial dirigida a hacer efectiva esa concepción del trámite de preparación del recurso, lo que es perfectamente compatible con el carácter dinámico y adaptativo de la jurisprudencia, que ha de ajustarse a las nuevas realidades en las que se desenvuelven las relaciones jurídicas; iii) lo que prohíbe el principio de igualdad en la aplicación de la Ley es el cambio irreflexivo o arbitrario, no así el cambio razonado, razonable y con vocación de futuro, esto es, destinado a ser mantenido con cierta continuidad con fundamento en razones jurídicas objetivas que excluyan todo significado de resolución ad personam; (iv) la aplicación del nuevo criterio a todas las situaciones jurídicas pendientes de resolver, con independencia de la fecha de presentación del escrito de preparación, obedece al “mínimo efecto retroactivo” al que se ha referido el Tribunal Constitucional en el examen de los cambios jurisprudenciales; v) las posibles restricciones a la recurribilidad de determinadas resoluciones no son incompatibles con el derecho a la tutela judicial efectiva del art. 24.1 CE, ni con el principio de seguridad jurídica, siempre que se articulen por ley, siendo doctrina reiterada de la Sala Tercera que no se quebranta dicho derecho porque un proceso contencioso-administrativo quede resuelto en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Auto de inadmisión de 10 de noviembre de 2011 fue promovido incidente de nulidad de actuaciones, invocándose el derecho a la tutela judicial efectiva en su vertiente de acceso a los recursos (art. 24.1 CE) y el principio de igualdad ante la ley (art. 14 CE), siendo inadmitido dicho remedio procesal por providencia de 25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tales vulneraciones se asientan en los siguientes argumentos que: i) del examen comparativo del escrito de preparación y el de formalización del recurso podía concluirse el cumplimiento de las exigencias impuestas tanto por la Ley jurisdiccional y por la jurisprudencia entonces existente; ii) se proporcionaba a la parte recurrida información acerca de los motivos en que se fundamentaría el recurso de casación, puesto que se hizo una referencia sucinta a los mismos, como venía entonces exigiéndose; iii) con anterioridad a la primera fecha de publicación de la nueva doctrina del Tribunal Supremo ya había sido preparado y formalizado el recurso de casación en este caso; iv) en el momento de preparar e interponer el recurso de casación la jurisprudencia sobre la cuestión analizada no era unánime ni clara, por lo que la inadmisión repercutía en la seguridad jurídica y en la tutela judicial efectiva de quien obraba con la certeza de que sus actuaciones cumplían con la legislación y doctrina jurisprudencial vigentes; v) la aplicación de la doctrina emanada del ATS de 10 de febrero de 2011 requería algún tipo de periodo transitorio, pues lo contrario implicaba la exigencia de requisitos sobrevenidos e inesperados, con centenares de inadmisiones como la que se impugna, contraviniéndose la exigencia de que los cambios jurisprudenciales tengan vocación de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desde la perspectiva del art. 14 CE se alega que: i) la aplicación lógica del nuevo criterio establecido por el Tribunal Supremo debería limitarse a los recursos de casación preparados con posterioridad al mismo o, como mínimo, a los interpuestos con posterioridad a esa fecha, y no, como ocurre en el presente caso, a los que tanto en la preparación como en la interposición se produjeron con anterioridad; ii) de otro modo, se da una situación menos favorable en aplicación de una misma norma ante supuestos idénticos, como serían los casos anteriores a la existencia de aquella nueva doctrina en los que se admitieron los escritos de preparación que contenían sucintas referencias a los motivos que iban a desarrollarse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demanda de amparo, la Sala Segunda de este Tribunal, por Auto de 7 de noviembre de 2013, acordó declarar justificada la abstención para el conocimiento del presente recurso de amparo formulada por el Magistrado don Juan José González Rivas,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2013, la Sala Segunda acordó admitir a trámite la demanda de amparo. Asimismo, en aplicación de lo dispuesto en el art. 51 de la Ley Orgánica del Tribunal Constitucional (LOTC), acordó dirigir atenta comunicación al Tribunal Supremo y a la Audiencia Nacional a fin de que, en el plazo de diez días, remitieran, respectivamente, certificación o fotocopia adverada de las actuaciones correspondientes al recurso de casación núm. 2933-2010 y al procedimiento ordinario núm. 439-2007, debiendo previamente emplazarse para que pudieran comparecer en el recurso de amparo, en el término de diez días, a quienes hubieran sido parte en el procedimiento, excepto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16 de diciembre de 2013, se tuvieron por recibidos los testimonios de las actuaciones, remitidos por el Tribunal Supremo y por la Audiencia Nacional, así como por personado y parte al Abogado del Estado, en la representación que ostenta, como solicitó éste en escrito registrado el día 21 de noviembre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20 de enero de 2014, en el que interesa que se dicte sentencia estimatoria por vulneración del art. 24.1 CE. Entiende incumplidas “las exigencias mínimas de confianza legítima de los justiciables”. A su juicio, las nuevas máximas jurisprudenciales contenidas en el ATS de 10 de febrero de 2011 se han aplicado en perjuicio de la recurrente, que había preparado la casación antes de que se pudiera conocer aquella innovadora resolución, de manera que su recurso de casación fue inadmitido en virtud de nuevas “exigencias” jurisprudenciales que razonablemente no se conocían al tiempo de su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22 de enero de 2014 se registró en este Tribunal el escrito de alegaciones de la recurrente de amparo, en el que reitera las alegaciones ya contenidas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el 6 de febrero de 2014, interesando la desestimación del recurso. A su parecer, el Auto dictado por la Sección Primera de la Sala de lo Contencioso-Administrativo del Tribunal Supremo constituye una resolución debidamente motivada, que no está incursa ni en error patente, ni en irrazonabilidad, ni en arbitrariedad. En cuanto al art. 14 CE, razona que la parte recurrente no ha aportado un válido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 este Tribunal, por Auto de 6 de noviembre de 2014,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 El Pleno de este Tribunal, mediante providencia de 15 de abril de 2015, acordó, de conformidad con el art. 10.1 n) LOTC,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abril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porque se cumplían los requisitos y las exigencias impuestas en aquel momento por la ley y la jurisprudencia, y b) porque la aplicación de la doctrina emanada del ATS de 10 de febrero de 2011 requería algún tipo de periodo transitorio, pues lo contrario implicaba la exigencia de requisitos sobrevenidos e inesperados, y (ii) el derecho a la igualdad en la aplicación de la ley (art. 14 CE), porque la aplicación lógica del nuevo criterio establecido por el Tribunal Supremo debería limitarse a los recursos de casación preparados con posterioridad al mismo o, como mínimo, a los interpuestos con posterioridad a esa fecha, y no, como ocurre en el presente caso, a los anteriores, ya que de otro modo se da una situación menos favorable en aplicación de una misma norma ante supuestos idénticos —como serían los casos anteriores a la existencia de aquella nueva doctrina en los que se admitieron los escritos de preparación que contenían sucintas referencias a los motivos que iban a desarrollarse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la jurisprudencia que el recurrente reputa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el haber enjuiciado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anteriormente indicada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y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de los Ángeles Jordá Escola.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