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19 de julio de 2013 y Auto de 27 de diciembre de 2013 dictados por el Pleno de la Sala Tercera de lo Contencioso-Administrativo del Tribunal Supremo en el recurso núm. 349-2011 interpuesto contra el acuerdo del Pleno del Consejo General del Poder Judicial de 28 de abril de 2011, por el que se aprueba el Reglamento 2/2011 de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30 de marzo de 2015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349-2011 del que trae causa el presente recurso de amparo núm. 2282-2014.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Sala,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349-2011 seguido en la Sala Tercera de lo Contencioso-Administrativo del Tribunal Supremo que dictó la Sentencia de 19 de julio de 2013 y el Auto de 27 de diciembre de 2013, resoluciones que han sido impugnadas en el presente recurso de amparo núm. 2282-2014.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2282-2014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