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6288-2014,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octubre de 2014 tuvo entrada en el Registro General de este Tribunal un oficio de la Sala de lo Social, con sede en Burgos, del Tribunal Superior de Justicia de Castilla y León al que se acompaña, junto con el testimonio del procedimiento ordinario núm. 179-2014, Auto de 1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pensionista interpuso demanda ante el instituto nacional de la Seguridad Social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20 de mayo de 2014 estimando en parte la demanda, declarando “el derecho del demandante a que se considere como pensión del año 2012 la señalada en el apartado segundo del relato histórico de la presente incrementada en un 2,9 por 100 y que la misma sirva de base para el incremento acordado en el año 2013 y 2014” y el “derecho del actor a percibir las diferencias correspondientes al año 2012 que son la diferencia entre el 1 por 100 aplicado y el 2,9 por 100 debido”. Se condena al INSS a abonar al demandante el pago de la cantidad que se especifica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16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16 de septiembre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31 de enero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Segunda, acordó admitir a trámite la cuestión mediante providencia de 18 de noviembre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de este Tribunal el 27 de noviembre de 2014 el Letrado de la Administración de la Seguridad Social se personó en nombre del instituto nacional de la Seguridad Socialy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noviembre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28 de noviembre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5 de diciembre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por escrito presentado el 3 de diciembre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general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general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LGSS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el 5 de diciembre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 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2 de enero de 2015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6288-2014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