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6397-2014,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octubre de 2014 tuvo entrada en el Registro General de este Tribunal un oficio de la Sala de lo Social, con sede en Burgos, del Tribunal Superior de Justicia de Castilla y León al que se acompaña, junto con el testimonio del procedimiento ordinario núm. 206-2014, Auto de 8 de octubre de 2014, en el que se acuerda plantear cuestión de inconstitucionalidad en relación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pensionista interpuso demanda ante el Instituto Nacional de la Seguridad Social (INSS) en reclamación de actualización de la pensión solicitando que se declarase el derecho a percibir la paga única compensatoria a que se refiere el apartado 1.2 del art. 48 de la Ley general de la Seguridad Social (LGSS), derivada de la diferencia que resulta entre el índice en función del cual se calculó dicha revalorización, que fue del 1 por 100 y el índice de precios al consumo acumulado correspondiente al período comprendido entre noviembre de 2011 y noviembre de 2012, que fue del 2,9 por 100, en la parte proporcional correspondiente al período comprendido entre el 1 de enero y el 30 de noviembre de 2012, ambos inclusive. Asimismo, solicitaba que se declarase el derecho a que la revalorización de la pensión en 2013 se efectúe sobre la cuantía de la pensión a 1 de enero de 2012, actualizada con la diferencia que resulta entre el índice en función del cual se calculó la revalorización en aquella fecha, que fue del 1 por 100, y el índice de precios al consumo acumulado correspondiente al período comprendido entre noviembre de 2011 y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el 20 de mayo de 2014 estimando la demanda, declarando “el derecho de la demandante a que se considere como pensión del año 2012 la señalada en el apartado segundo del relato histórico de la presente incrementada en un 2,9 por 100 y que la misma sirva de base para el incremento acordado en el año 2013 y 2014”, así como “el derecho de la actora a percibir las diferencias correspondientes al año 2012 que son la diferencia entre el 1 por 100 aplicado y el 2,9 por 100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señaló para su deliberación y fallo el día 3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el órgano judicial dictó providencia de 3 de septiembre de 2014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por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mostró su conformidad con el planteamiento de la cuestión. El resto de las partes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8 de octubre de 2014 la Sala de lo Social, con sede en Burgos, del Tribunal Superior de Justicia de Castilla y León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los fundamentos de derecho comienzan con un recordatorio de la obligación de plantear cuestión de inconstitucionalidad que recae sobre el órgano judicial así como de los límites constitucionales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analizará si, aun siendo de grado máximo, carece realmente de justificación habilitante, puesto que este Tribunal Constitucional admite que “la prohibición de retroactividad operaría plenamente y solo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Y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único límite al importe de la revalorización de las pensiones contributivas se establece en el art. 49 LGSS: la revalorización de las pensiones no podrá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CE, afectando de forma retroactiva a derechos adquiridos y con la vulneración del art. 9.3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(nov-2011-nov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Constitución española, de entender que por parte del aludido art. 2.1 del RDL 28/2012 serían objeto de expropiación los derechos de los perceptores de pensiones de seguridad social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admitir a trámite la cuestión mediante providencia de 2 de diciembre de 2014;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 la Comunidad Autónoma de Castilla y León,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9 de diciembre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17 de diciembre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de este Tribunal el 12 de diciembre de 2014 el Letrado de la Administración de la Seguridad Social se personó en nombre del Instituto Nacional de la Seguridad Social y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15 de diciembre de 2014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registrado el 26 de diciembre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partiendo de la configuración constitucional del sistema de Seguridad Social. En este sentido señala que nuestro sistema de Seguridad Social previsto en el art. 41 CE está caracterizado constitucionalmente por consistir en una garantía institucional que deja al legislador su configuración en atención a las circunstancias económicas y sociales que son imperativas para la propia viabilidad y eficacia de aquél y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señala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IPC del año en curso, no constituye un derecho consolidado integrado en el patrimonio del pensionista, muy al contrario, constituye, a su juicio, una mera expectativa de derecho y, como mucho, un derecho condicionado a la fijación de su contenido por la Ley de presupuestos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condiciona la existencia del derecho a que tal derecho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LGSS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generales. Y ello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existencia de un diferencial entre el IPC previsto y el acumulado a noviembre del año en curso, sólo es el presupuesto necesario para que la Ley de presupuestos generales pueda fijar una actualización, pero no determina el nacimiento de dicha actualización como derecho consolidado, sólo será y en la forma que fije la Ley de presupuestos generales cuando se determine y en qué se concreta esa expectativa de actualización, como ha ocurrido cuando tal actualización se ha llevado a cabo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Constitución ha regulado el sistema de Seguridad Social, donde se deja al legislador un amplísimo margen para definir las características del sistema en función de las circunstancias económicas y sociales en cada momento y con la finalidad de asegurar la suficiencia y solvencia del sistema. En este marco, señala,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supuestos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sobre la vulneración del art. 33 CE señala que la alegada vulneración de este precepto parte de la consideración de la existencia de un derecho adquirido incorporado al patrimonio, por tanto,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 Administración de la Seguridad Social por escrito registrado el 7 de enero de 2015 interesa también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sobre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sistema suponen que el Sistema de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89/2009, de 20 de abril; 66/1990, de 5 de abril; 134/1987, de 21 de julio y 65/1987,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la jurisprudencia constitucional se desprende que no existe una exigencia constitucional que obligue necesariamente a revalorizar las pensiones de manera que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2.1 del Real Decreto-ley 28/ 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al contrario, lo que verdaderamente ha de ser tutelado por imperativo constitucional es que no se pongan en cuestión los rasgos estructurales de la institución de Seguridad Social, lo que el Tribunal Constitucional ha entendido que no se produce con ocasión de una limitación de la revalorización de las pensiones. Y añade que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art. 48.1 LGSS en la redacción vigente en la fecha del proceso, establece respecto a la revalorización de las pensiones contributivas que esta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establece,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indica que en coherencia con la doctrina del Tribunal Constitucional plasmada en las SSTC 134/1987 y 97/1990, el legislador toma la precaución de condicionar la medida a la ponderación de las disponibilidades presupuestarias y de las necesidades sociales, de manera que condiciona la efectividad de la medida a que se contemple la actualización de la diferencia y del pago único en la correspondiente Ley de presupuestos generales del año siguiente. En este sentido, afirma que los dos puntos del apartado 1 del art. 48 LGSS exigen una interpretación conjunta, de manera que la efectividad de los derechos programados en ambos puntos se condiciona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regla establecida en el art. 48.1.1 LGSS se configura como una norma programática cuya efectividad e imperatividad depende de la disposición normativa que se efectúe en la correspondiente Ley de presupuestos generales del Estado de cada ejercicio. Señala que la LGSS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establece que para que quede colmado el derecho a la actualización de las pensiones y al percibo del complemento adicional, resulta preciso que su reconocimiento se incorpore a la Ley de presupuestos generales del Estado del año siguiente. En tal sentido, considera que la Ley de presupuestos generales del Estado ha de ser un mero trasunto contable de la obligación legal contenida en la LGSS, al margen de contravenir lo dispuesto expresamente en el art. 48.1.2 LGSS,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no se puede equiparar el devengo de esta paga con el de las gratificaciones extraordinarias reguladas en el art. 31 del texto refundido de la Ley del estatuto de los trabajadores (LET). La paga única prevista en el art. 48.1.2 LGSS se devenga y perfecciona con su reconocimiento en la Ley de presupuestos generales del Estado por determinación legal, mientras que el art. 31 LET concibe las gratificaciones extraordinarias como percepciones salariales devengadas en períodos superiores al mes, y prorrateables por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hace el art. 48.1.2 LGSS es cuantificar la diferencia entre los IPC previsto y reales tomando como período de cálculo del incremento de los precios entre los meses de noviembre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Afirma que la actualización por diferencias en la revalorización y el nacimiento del derecho a la paga, nace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generales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escrito de alegaciones ante este Tribunal el 8 de enero de 2015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ya que entiende que en el auto de planteamiento de la cuestión el Tribunal Superior de Justicia cuestiona el art. 2.1 del Real-Decreto-ley 28/2012 de 30 de noviembre y este precepto hace referencia a la suspensión de lo previsto en el art. 48 apartado 1.1 de la Ley general de Seguridad Social, y lo dispuesto en el art. 27 apartado 1 párrafo segundo de la Ley de clases pasivas del Estado. Estos dos preceptos cuya suspensión se acuerda en realidad contienen dos reglas distintas, una relativa al sistema de revalorización anual de las pensiones que cada norma regula y una segunda relativa a la llamada “paga compensatoria única” que se establece para compensar la pérdida adquisitiva que el pensionista haya podido sufrir en el periodo del último año. La confusión que pretende aclarar para poder delimitar el alcance de la cuestión tal como la configura el Tribunal cuestionante, se basa en que no dice claramente cuál de las dos reglas es la que se considera que puede ser contraria 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no cabe ninguna duda que cuestiona la norma en la que el legislador fija la forma de actualización anual de las pensiones, la prevista para el año siguiente, concretamente en el caso que nos ocupa para el año 2013, a esta revalorización se refiere continuamente el órgano judicial, sin embargo la otra regla, la de determinación de la paga compensatoria, sólo incidentalmente la menciona. Señala el Fiscal General que el Tribunal considera que los derechos que nacen de ambas reglas, la de revalorización anual y la de fijación de paga única compensatoria, gozan de la misma naturaleza, y se consolidan simultáneamente en el tiempo, pero en su opinión esto no es cierto y por eso entiende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Así, destaca de la doctrina constitucional que no existe una imposibilidad de revisar las normas fiscales o económicas, lo que es obvio,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señala que no comparte que en el caso que nos ocupa es obvia la vulneración por parte del Decreto-ley, cuando suspende las normas generales del art. 48 LGSS, de la retroactividad, y lo hace respecto a las dos reglas que establece dicho precepto, la primera relativa a la fijación del incremento, para el año 2013, con arreglo al real índice de precios al consumo, y la fijación del pago único, compensatorio de la pérdida del poder adquisitivo durante el año 2012. Parte el Fiscal General de la distinta índole de ambas retroacciones, la primera sería de las denominadas impropias, ya que la suspensión busca causar el efecto de que las pensiones del año 2013 no se incrementen más del 1 por ciento, (excepcionalmente el 2 por 100), pero aunque lo relaciona con un hecho actual, cual es la fijación del aumento del IPC en 2,9 por 100,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cuestiona esta suspensión como infractora de la Constitución, no puede compartir ese cuestionamiento.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afirma que cosa distinta es la decisión de suspender la aplicación de la paga única que debería realizarse antes del l de abril de 2013, pero que se determina con arreglo al aumento del índice de precios comprendido entre los días 1 de diciembre de 2011 y 30 de noviembre de 2012 y teniendo en cuenta que el Decreto-Ley entra en vigor el 1 de diciembre de 2012, está incurriendo, a su juicio, en supuesto de retroactividad auténtica, ya que vincula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Afirma que si no se hizo antes el pago es porque faltaba la constatación matemática de la cuantía; como depende del índice de precios al consumo, la cuantía de este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presupuestaría a fijar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que entiende el Fiscal General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las SSTC 49/2015, de 4 de marzo; 95/2015, de 14 de mayo, y 109/2015, de 28 de mayo, a cuya doctrina hemos de remitirnos,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señala la STC 49/2015, para valorar si la norma cuestionada vulnera el art. 9.3 CE es necesario determinar con carácter previo si en el momento en que se dictó el Real Decreto-ley 28/2012, de 30 de noviembre, los pensionistas tenían una mera expectativa de derecho a recibir la diferencia entre el IPC real y el IPC estimado para el año 2012 o, si por el contrario, tenían un derecho consolidado, asumido e integrado en su patrimonio. A este respecto, afirma la Sentencia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y,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 Sobre la base de esta doctrina constitucional, la STC 49/2015, de 4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falta en el art. 2.1 del Real Decreto-ley 28/2012 un elemento indispensable para que pueda calificarse la no actualización de las pensiones de medida expropiatoria, cual es que, siguiendo lo dispuesto en la STC 108/1986, de 29 de julio, FJ 20,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De ello se deduce que, la norma impugnada resulta acorde con el art. 33 CE en la medida en que su aplicación no ha supuesto la expropiación de derechos patrimoniales consolidados, pues de lo que se ha privado a los pensionistas es de una expectativa, pero no de un derecho actual consolidado, por lo que,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razonamientos expuestos, de acuerdo con la doctrina contenida en la STC 49/2015, de 4 de marzo, conducen a la conclusión que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