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80</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7 de mayo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3 de mayo de 2015, don Iván Moreno Rueda, representante de la candidatura Ciudadanos-Partido de la Ciudadanía, interpuso recurso de amparo electoral contra la Sentencia de 1 de mayo de 2015, del Juzgado de lo Contencioso-Administrativo núm. 17 de Madrid, dictada en el procedimiento 190-2015. Dicha Sentencia, estimando el recurso contencioso-electoral planteado por la Confederación nacional de agrupaciones políticas independientes (3VÍA o 3VÍA-CAPI), anuló el acuerdo de la Junta electoral de Navalcarnero, publicado en el “Boletín Oficial de la Comunidad de Madrid”, núm. 99, de 28 de abril de 2015, en la parte que proclamó la candidatura presentada para el municipio de Móstoles de Ciudadanos-Partido de la Ciudadanía.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recurso de amparo se aduce, en síntesis, que la Sentencia impugnada ha vulnerado el derecho de participación en los asuntos públicos (art. 23.1 CE). Alegan los recurrentes que la candidatura inicialmente presentada fue fruto de un acuerdo entre dos fuerzas políticas por el que se decidió no solo qué candidatos se presentaban, sino también en el orden en el que lo hacían. Sostiene esta parte procesal que al romperse ese acuerdo y renunciar algunos de esos candidatos a presentarse en la candidatura presentada por Ciudadanos-Partido de la Ciudadanía, y que optaron por presentarse en la candidatura presentada por Tercera Vía, hubo que recomponer esta candidatura. Según se afirma en la demanda de amparo, en este caso la alteración de la candidatura se justifica en el pluralismo político (art. 1.1 CE), pues de otro modo, la opción política que se separó y que concurre a las elecciones con su propia candidatura, condicionaría la lista de la formación política que abandonó, que son los ahora recurrentes. Tal forma de proceder la consideran lesiva del derecho que garantiza el art. 23.1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5 de mayo de 2015, la Sala Primera acordó no admitir a trámite la demanda, con arreglo a lo previsto en el art. 50.1 a) de la Ley Orgánica del Tribunal Constitucional (LOTC), dada la manifiesta inexistencia de violación de un derecho fundamental tutelable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6 de mayo de 2015, el Ministerio Fiscal presentó recurso de súplica frente a la citada providencia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recordar la doctrina constitucional general sobre el art. 23.2 CE, y admitir que la propia parte recurrente en amparo ha reconocido en su demanda que alteraron el orden de los candidatos en la lista presentada, destaca el Ministerio Fiscal que haya sido el órgano judicial el que apreciara una circunstancia que reputó invalidante —alteración de las listas no justificadas por la paridad—, que no había sido específicamente alegada y que no había resultado relevante para la propia Junta electoral de zona, hasta el punto de que dio por buena la nueva lista con la consiguiente proclamación de la candidatura el 28 de abril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Ministerio Fiscal que en este caso se ha producido una modificación incorrecta de la lista; no obstante pone también de manifiesto que no se ha dado lugar a la posible subsanación de las alteraciones producidas. De todo ello parece deducir que la decisión judicial no guarda adecuada proporción. Cita en su apoyo la STC 96/2007, que a su juicio, sería aplicable al presente supuesto. Por ello el Ministerio Fiscal reprocha al órgano judicial, no tanto la constatación de las irregularidades en la configuración de la lista —que se plasmaron en numerosas alteraciones en el orden de los candidatos—, sino que no se otorgara un nuevo plazo de subsanación.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con cita del ATC 17/2010, de 4 de febrero, considera que existió lesión del derecho fundamental de la parte recurrente, solicita la estimación del recurso de súplica, que se deje sin efecto la providencia de inadmisión 5 de mayo de 2015, y que se dicte en su lugar la que se estime pertinente, en orden a la admisión o no del recurso de amparo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6 de mayo de 2015, la Sala Primera del Tribunal Constitucional tuvo por recibido el recurso del Ministerio Fiscal y, de conformidad con el art. 50.3 LOTC, acordó dar traslado al recurrente para que alegara hasta la 12 horas del día 7 de mayo de 2015, lo que estimara oportuno. El recurrente, mediante escrito de 7 de mayo de 2015 formuló sus alegaciones adhiriéndose a los argumentos esgrimidos por el Ministerio Fiscal en su recurso de súplica.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ha indicado en los antecedentes, el Ministerio Fiscal ha recurrido en suplica la providencia de la Sala Primera de 5 de mayo de 2015, por la que se acordó no admitir a trámite el presente recurso de amparo, dada la manifiesta inexistencia de violación de un derecho fundamental tutelable en amparo [art. 50.1 a)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aduce, en primer lugar, que el órgano judicial apreció una circunstancia que reputó invalidante —alteración de las listas no justificadas por la paridad—, que no había sido específicamente alegada y que no había resultado relevante para la propia Junta electoral de zona. Esta afirmación no puede compartirse. En las actuaciones obrantes se puede constatar que el órgano judicial, al realizar las afirmaciones que ahora el Ministerio Fiscal combate, no hizo otra cosa que dar respuesta a las pretensiones planteadas por quien actuó como recurrente en el proceso electoral —Confederación nacional de agrupaciones políticas independientes— que en su impugnación de la proclamación de la candidatura recurrente en amparo, puso de manifiesto las irregularidades en las que incurría. En definitiva, el órgano judicial tenía la obligación de dar respuesta tales pretensiones en su deber de dictar una resolución congruente.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También sostiene el Ministerio Fiscal que, al no haber dado trámite de subsanación a la formación política recurrente, no se ha respetado el derecho fundamental que consagra el art. 23.2 CE. Esta queja tampoco puede prosperar. El problema que se plantea en este caso no es, como sostiene el Fiscal, que no se otorgara a esta formación política trámite de subsanación de los errores en los que había incurrido la candidatura que había presentado. Este trámite se le otorgó y en cumplimiento del mismo, esta formación política alteró el orden de candidatos por entender que, al haberse roto el acuerdo que llevó a las formaciones políticas que inicialmente iban a concurrir en la misma candidatura, podía recomponer de nuevo la lista. Es esta actuación la que los recurrentes consideran legitimada en el principio de pluralismo político (art.1.1 CE) y amparada por el derecho fundamental que consagra el art. 23 CE y la que el órgano judicial, por el contrario, consideró contraria al art. 48.1 de la Ley Orgánica del régimen electoral general (LOREG) y determinó la anulación de la proclamación de la candidatura.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recurrida en amparo apreció que la formación política recurrente no había subsanado debidamente los defectos en los que incurría la candidatura presentada, al utilizar este trámite para modificarla. Según se sostiene en esta resolución judicial, las modificaciones introducidas excedieron de la función que es propia del trámite de subsanación, pues no se limitaron a sustituir a los candidatos que habían renunciado, ni a cumplir las exigencias que se derivan de la paridad, respetando, en lo que fuera posible, el orden inicial de la candidatura, sino que se llevó a cabo una alteración del orden de los candidatos que no resultaba necesaria para corregir los defectos en los que la referida candidatura incurría. Por ello, el Juzgado de lo Contencioso-Administrativo estimó que la lista resultante como consecuencia de la subsanación era contraria a lo establecido en el art. 48 LOREG y anuló la candidatura por este motivo.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tales argumentos la demanda de amparo se limita a sostener que “el proceder de esta parte al alterar el orden de las listas estaba condicionado por las renuncias y por el significado político de las mismas”, pues, según se alega, la candidatura inicialmente presentada era fruto de la negociación de dos fuerzas políticas que pretendían concurrir conjuntamente a las elecciones. Entienden los recurrentes que como esta expectativa se frustró finalmente al haber decidido la otra formación política concurrir a las elecciones por separado, es perfectamente legítimo que hayan podido recomponer la candidatura, invocando, como se ha indicado, el principio de pluralismo político (art. 1.1 CE) y el derecho fundamental a participar en los asuntos públicos (art. 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conclusión, sin embargo, como se sostiene en la Sentencia impugnada, no es acorde con lo dispuesto en el art. 48 LOREG, que establece que “[l]as candidaturas no pueden ser objeto de modificación una vez presentadas, salvo en el plazo habilitado para la subsanación de las irregularidades previsto en el artículo anterior y solo por fallecimiento o renuncia del titular o como consecuencia del propio trámite de subsanación”, por lo que las circunstancias que hayan podido determinar la renuncia de los candidatos no constituye una excepción al principio de inmodificabilidad de las candidaturas que consagra este precepto legal. Es más, tales cuestiones son ajenas al proceso electoral, que debe limitarse a verificar que las candidaturas proclamadas respetan las exigencias establecidas en la legislación electoral sin entrar a valorar otro tipo de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tenerse en cuenta que de acuerdo con la doctrina de este Tribunal “los derechos de participación reconocidos en el art. 23 CE han de ejercerse en el marco establecido por la LOREG, que los desarrolla y concreta, de modo que los límites establecidos en ella no pueden enervarse ni alterarse por la vía de la interpretación más favorable al derecho fundamental pues, si así fuera, quedaría en manos del intérprete, y no en las del legislador (a quien la Constitución, en sus arts. 53.1, 23.2 y 81.1, atribuye tal potestad) la fijación de los contornos del derecho” (STC 74/1995, de 12 de mayo, fundamento único, en el mismo sentido 146/1999, de 27 de julio, FJ 2; 155/2003 de 17 de julio, FJ 4, y 170/2007, de 18 de julio,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no puede apreciarse que la Sentencia impugnada, al apreciar que la formación política recurrente no se ha limitado a sustituir a los candidatos que habían renunciado o que no cumplían la regla de la paridad, sino que ha aprovechado esta vía para alterar el orden de los candidatos, haya vulnerado los derechos que consagra el art. 23 CE, pues, conforme ha señalado a este Tribunal, “la imposibilidad de alterar el orden de los candidatos una vez presentada la lista ni afecta al contenido esencial de los derechos fundamentales en juego ni resulta inconstitucional por ningún otro motivo”. (STC 74/1995, de 12 de mayo, en el mismo sentido STC 61/1987, de 20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Debe indicarse, además, que si bien del derecho que garantiza el art. 23.2 CE se deriva el deber de la Administración electoral de otorgar un plazo para que puedan corregirse los errores o irregularidades en las que hayan incurrido las candidaturas que se hayan presentada, una vez otorgado este trámite, la Administración electoral no está obligada a otorgar un nuevo plazo de subsanación con el fin de reparar los posibles errores o irregularidades en los que se haya incurrido al cumplir este trámite, pues el art. 23.2 CE no garantiza un derecho indefinido a la subsanación. Como hemos afirmado, por todas, en la STC 73/1995, de 12 de mayo, FJ 3 “el proceso electoral es por su propia naturaleza un procedimiento extremadamente rápido, con plazos perentorios en todas sus fases y tanto en su vertiente administrativa como en los recursos jurisdiccionales que se establecen para el control de la regularidad de todo el proceso. Tal naturaleza requiere en todos los partícipes una extremada diligencia, cuya falta determina la imposibilidad de alegar con éxito supuestas vulneraciones de derechos derivados del art. 23 de la Constitución, que no habrían existido de mediar esa activa diligencia” (STC 67/1987,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en el presente caso, la no proclamación de la candidatura de la formación política recurrente es solo imputable a su propia falta de diligencia que, en lugar de sustituir a los candidatos que habían renunciado o que no cumplían las exigencias de la paridad y corregir, de este modo, los errores en los que incurría la candidatura presentada, aprovecho este trámite para alterar el orden de los candidatos, vulnerando de este modo el art. 48 LOREG.</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5 de mayo de 2015.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