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 los Ángeles Gáldiz de la Plaza, en nombre y representación de don Florentino Renedo García y doña Rosa María Bahillo Lomas, y bajo la dirección del Letrado don Miguel Polvorosa Mies, interpuso recurso de amparo contra la Sentencia de la Sección Primera de la Audiencia Provincial de Palencia de 22 de julio de 2014, por la que se desestima el recurso de apelación núm. 15-2014, interpuesto contra la Sentencia del Juzgado de lo Penal núm. 1 de Palencia de 4 de noviembre de 2013, dictada en el procedimiento abreviado núm. 27-2012, en la que se condena a los recurrentes por un delito de estafa a sendas penas de un año y tres meses de prisión, la accesoria de inhabilitación especial para el ejercicio del derecho de sufragio pasivo durante el tiempo de la condena, pago de las costas y a que indemnicen a las víctimas en la cantidad de 28.338,5 € más los gastos que se hayan derivado del sobreprecio de la vivienda adquirida a determinar en ejecución de sentencia y a los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tanto en lo relativo a la pena privativa de libertad, por ser inferior a los dos años; como en lo relativo a los pronunciamiento de contenido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13 de abril de 2015, acordó, respectivamente, la admisión a trámite de la demanda de amparo y la formación de pieza separada para la tramitación del incidente sobre la suspensión solicitada y conceder a la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24 de abril de 2015, presentó alegaciones en las que, enunciando la jurisprudencia de este Tribunal sobre el particular, interesó la suspensión de la pena privativa de libertad, argumentando que si se compara la duración de la pena privativa de libertad impuesta, que es de prisión de un año y tres meses, con el tiempo que normalmente se consume en la tramitación de un recurso de amparo, la denegación de la suspensión causaría a la recurrente un perjuicio irreparable. Por el contrario, considera que no debe accederse a suspender la condena al pago de las costas procesales y la responsabilidad civil por su carácter de consecuencia jurídica de carácter económico que no es de una cuantía excesiva y no haberse alegado siquiera dificultad alguna para hacer frente 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por escrito registrado el 20 de abril de 2015, presentaron alegaciones poniendo de manifiesto que la suspensión de las penas de un año y tres meses de prisión y la accesoria de inhabilitación especial y los pronunciamientos de contenido económico no suponen una perturbación grave de los intereses generales y su cumplimiento podría hacer perder la finalidad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las penas de privación de libertad, este Tribunal ha afirmado que procede, en principio, acordar su suspensión al afectar a un bien de imposible o muy difícil restitución, pero destacando que este criterio general tampoco es absoluto, ya que en estos supuestos deben ponderarse otras circunstancias relevantes, significativamente la duración y gravedad de la pena impuesta porque en ella se expresa la reprobación que el ordenamiento asigna al hecho delictivo y, por consiguiente, la magnitud del interés general en su ejecución. Del mismo modo, este Tribunal también ha afirmado que la suspensión de la pena privativa de libertad debe conllevar la suspensión de las penas accesorias de inhabilitación que lleven a aparejadas (ATC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la suspensión de la Sentencia impugnada, en primer lugar, respecto de las penas de prisión de un año y tres meses y su accesoria de inhabilitación especial para el ejercicio del derecho de sufragio pasivo durante ese mismo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las alegaciones del Ministerio Fiscal, debe acordarse la suspensión de la pena privativa de libertad y su accesoria de inhabilitación especial. Su ejecución puede ocasionar al recurrente perjuicios irreparables que harían perder al amparo su finalidad, tanto por afectar al valor fundamental de la libertad como porque si se compara la duración de tales penas —un año y tres meses— con el tiempo que requiere la tramitación de un proceso de amparo como el presente, la no suspensión de su ejecución ocasionaría un perjuicio irreparable, que privaría en parte o, incluso, en todo de eficacia a un eventual fallo estimatorio. Por otra parte, el acceder a la suspensión pretendida no ocasiona una lesión específica y grave de un interés constitucionalmente protegido —más allá de aquél que de por sí produce la no ejecución de un fallo judicial—, ni de derechos fundamentales o libertades públicas de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también han solicitado la suspensión de la condena en costas y el pago de las responsabilidades civiles sin desarrollar ningún específico argumento para sustentar la procedencia de esta solicitud. De ese modo, tal como también ha interesado el Ministerio Fiscal, no procede acceder a esta petición. Los recurrentes no han cumplido la carga procesal que les incumbe de alegar y acreditar la concurrencia de un perjuicio irreparable derivado de la ejecución de estos pronunciamientos económicos que, por su propia naturaleza, no son irreparables.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del Juzgado de lo Penal núm. 1 de Palencia de 4 de noviembre de 2013, dictada en el procedimiento abreviado 27-2012, exclusivamente en lo relativo a las penas de prisión de un año y tres meses y a las accesorias de inhabilitación especial para el derecho de sufragio pasivo durante el tiempo de la condena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