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22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18 de noviembre de 2009, don Julio García Latorre, Letrado del Ilustre Colegio de Abogados de Madrid con núm. 51.585, en nombre de don Chek Faal, interpuso recurso de amparo contra el Auto de 6 de octubre de 2009, dictado por el Juzgado de lo Contencioso-Administrativo núm. 17 de Madrid que desestimaba el recurso de súplica interpuesto frente a la providencia de señalamiento de vista en el procedimiento abreviado núm. 720-2009, sobre caducidad de expediente de expulsión, alegando que con el señalamiento de la vista para el día 12 de abril de 2012 se vulneraba su derecho a no padecer dilaciones indebidas del art. 24.2 CE. Mediante “otrosí digo” incluido en el mismo escrito, se solicitaba el nombramiento de procurador de oficio, designándose a doña María Jesús Bejarano Sánchez para que asumiera la representación procesal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Solicitado testimonio de las actuaciones judiciales del procedimiento contencioso-administrativo, el Juzgado de lo Contencioso-Administrativo núm. 17 de Madrid, remitió copia del Auto dictado el 15 de noviembre de 2010 en el que, oídas las partes, declaraba terminado el procedimiento “por reconocimiento en vía administrativa de las pretensiones de la parte recurrente”. En esa misma resolución se ordenaba el archivo del recurso y se dejaba “sin efecto la vista señalada para el próximo 12 de abril de 2012, a las 12:25 horas de su mañana”.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11 de mayo de 2015 acordó dar audiencia a las partes y al Ministerio Fiscal para que alegaran en relación a la posible pérdida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ha manifestado su conformidad con la declaración de pérdida de objeto del recurso, mediante escrito de 27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3 de junio de 2015. Considera el Ministerio Fiscal que el recurso ha perdido objeto, conforme a la doctrina del Tribunal, al haber existido satisfacción extraprocesal de la pretensión ejercitada en la vía judicial, por lo que procede el archivo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8 de junio de 2015, en el que se muestra igualmente conforme con la declaración de pérdida de objeto y consiguiente archivo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 posterioridad a la presentación de la demanda pueden hacer innecesario un pronunciamiento del Tribunal Constitucional (STC 305/2000, de 11 de diciembre, FJ 9; y AATC 43/1985, de 23 de enero, 189/1997, de 3 de junio; 139/1998, de 16 de junio, y 243/2007, de 21 de mayo, por todos), debiendo 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como ya señaláramos en el ATC 287/2008, de 22 de septiembre, recaído en un recurso de amparo sustancialmente idéntico al que ahora nos ocupa,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de la Ley Orgánica del Tribunal Constitucional: LOTC), cuando dicha pretensión se ha visto satisfecha extraprocesalmente, no cabe sino concluir, en principio, que el amparo impetrado carece desde ese momento de objeto sobre el que deba pronunciarse este Tribunal (por todos, ATC 439/2007, de 26 de noviembre).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análisis de la documentación obrante en autos se desprende que el Auto dictado en la vía judicial de 15 de noviembre de 2010, dando por terminado el proceso contencioso-administrativo por satisfacción extraprocesal de la pretensión en él ejercitada, dejó sin efecto el señalamiento de la vista del procedimiento abreviado para el día 12 de abril de 2012, origen de la queja sobre dilaciones indebidas que ha fundamentado el presente recurso de amparo; por ello, procede, de conformidad con lo dispuesto en los arts. 80 y 86.1 LOTC, en relación con el art. 22 de la Ley de enjuiciamiento civil, declarar la perdida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amparo núm. 9701-2009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