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23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octubre de 2014 tuvo entrada en el Registro General de este Tribunal escrito de la Sala de lo Contencioso-Administrativo, Sección Sexta, de la Audiencia Nacional, al que se acompaña, junto al testimonio del correspondiente procedimiento, el Auto de 11 de julio de 2014, mediante el que se acuerda elevar a este Tribunal cuestión de inconstitucionalidad respecto del art. 191.6 de la Ley 58/2003, de 17 de diciembre, general tributaria (LGT en lo que sigue), en relación con el art. 191.1.4 párrafo y 191.2 in fine, del mismo texto legal, por posible vulneración de los arts. 14, 31.1,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acuerdo de 22 de febrero de 2005, la Dependencia de Gestión Tributaria de Agencia Estatal de Administración Tributaria (AEAT) de Lleida, impuso a la entidad POMPEU 6, S.L., una sanción de 230.445,88 €. La sanción se debe a la conducta consistente en diferir conscientemente el impuesto sobre el valor añadido (IVA) repercutido, del tercer al cuarto trimestre del ejercicio 2003. La sanción se califica como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recurrió la sanción alegando falta de culpabilidad y desproporción del importe de la misma, dado que la conducta había consistido en un retraso en la declaración del IVA repercutido y devengado en el tercer trimestre de 2003 (con fecha 31 julio 2003, fecha de la escritura de transmisión del inmueble que da origen al IVA repercutido) y que fue declarado por el sujeto pasivo en el cuarto trimestre del ejercicio, por ser dicho trimestre el que comenzaba en la fecha de la factura de la venta de un inmueble, el 1 de octubre de 2003. Fue esta discordancia entre las fechas —de transmisión del inmueble y de factura— lo que motivó la correspondiente regularización inspectora y la imposición de la sanción correspondiente, al entender la inspección de tributos que dicha declaración debía haberse realizado en el tercer trimestre de 2003, y no en el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vía administrativa quedó agotada mediante la resolución del Tribunal Económico Administrativo Central, de 24 de mayo de 2012, que desestimó en su integridad las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anterior resolución la representación procesal de la entidad interpuso recurso contencioso-administrativo ante la Sala que promueve la presente cuestión de inconstitucionalidad, alegando falta de proporcionalidad de la sanción, e inexistencia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día 17 de marzo de 2014 la Sala de lo Contencioso-Administrativo de la Audiencia Nacional dictó providencia acordando oír a las partes y al Ministerio Fiscal, en el plazo de diez días, acerca de la pertinencia de plantear una cuestión de inconstitucionalidad acerca del artículo 191.6 de la Ley general tributaria 58/2003, de 17 de diciembre (LGT), en relación con el art. 191.1.4 párrafo y 191.2 in fine, del mismo texto legal, por posible vulneración de los arts. 31.1,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del demandante manifestó su oposición al planteamiento de la cuestión de inconstitucionalidad. Comienza recalcando que en este caso se ha conculcado efectivamente el principio de proporcionalidad al imponer una sanción en un supuesto en el que se ha realizado efectivamente el ingreso de la deuda tributaria incluso antes de haberle sido exigido su pago por la propia Administración. Por ello en general coincide con la conculcación de los preceptos constitucionales a que se refiere la providencia. En este sentido, se insiste en que se pretende penalizar la conducta de la entidad con el mismo gravamen que habría correspondido a la conducta, completamente distinta, del que jamás ingresa la deuda tributaria, siendo así que el perjuicio en uno y otro caso es sustancialmente diferente. Considera que una interpretación justa del art. 191.2 LGT in fine requeriría tener en cuenta que se establece como criterio general un tipo sancionador fijo de 50 por 100 para aquellas infracciones que supongan dejar de ingresar una deuda tributaria que no supere los 3.000 €. Por consiguiente, dado que la base para el cálculo de la sanción se corresponde con la suma dejada de ingresar, al establecer ese tipo del 50 por 100 el legislador estaba pensando en una sanción que, a lo sumo, podría alcanzar la cantidad de 1.500 €, absolutamente dispar con la que se prevé como sanción en el presente caso, que representa un 10.000 por 100 más. Concluye que la propia Sala promotora de la cuestión podría haber realizado una aplicación de los preceptos de la Ley general tributaria coherente con el principio de proporcionalidad, revisando así la interpretación realizada por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mediante escrito de 10 de abril de 2014, manifestó igualmente su oposición al planteamiento de la cuestión considerando correcta la imposición de la sanción sobre la cantidad dejada de ingresar en el periodo correspondiente, cantidad que se ingresa disfrazada como de otro en la práctica conocida como “decalaje”.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mediante escrito de 11 de junio de 2014, considera que, limitado el informe a la pertinencia de plantear la cuestión de inconstitucionalidad, y sin que proceda a entrar en el fondo del asunto, el necesario juicio de relevancia que ha de hacerse está correctamente planteado, correspondiendo a la Sala resolver sobre el planteamiento de la cuestión en los términos previstos en el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Auto de 11 de julio de 2014, planteando cuestión de inconstitucionalidad sobre el art. 191.6 de la Ley general tributaria 58/2003, de 17 de diciembre, en relación con el art. 191.1.4 párrafo y 191.2 in fine, del mismo texto legal, por posible vulneración de los arts. 31.1,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11 de junio de 2014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el razonamiento del Auto exponiendo de manera breve el asunto que motiva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POMPEU 6, S. L., fue sancionada en virtud del art. 191.6 LGT por haber incurrido en un retraso en la declaración del IVA correspondiente a una compraventa de un inmueble. Dicha compraventa se formalizó en escritura de fecha 31 de julio de 2003 (tercer trimestre del año), si bien la factura de la venta del inmueble es de 1 de octubre de 2003 (cuarto trimestre). La entidad declaró el IVA devengado en el cuarto trimestre del ejercicio. La Administración tributaria consideró que había que estar a la fecha de escritura, de manera que debería haberse declarado en el tercer trimestre, y no en el cuarto. A consecuencia de lo anterior la Dependencia de Gestión Tributaria de Agencia Estatal de Administración Tributaria (AEAT) de Lleida, en aplicación del citado art. 191.6 LGT dictó acuerdo sancionador 22 de febrero de 2005, en cuantía de 230.445,88 €, correspondiente al 50 por 100 de la cuota cuya declaración e ingreso se había producido en el cuarto trimestre del año en lugar de, como habría sido correcto, en el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Relatados así los hechos, se refiere el Auto a la práctica conocida como “decalaje” en el IVA, consistente en el retraso en la declaración del impuesto repercutido y devengado por parte del sujeto pasivo. Tras exponer la conducta descrita en el art. 191.6 LGT, en conexión con el art. 27.4 LGT, se refiere a las Sentencias del Tribunal Supremo de 27 de septiembre de 2010 (recurso 308-2008); de 7 de noviembre de 2011 (recurso 74-2010) y 18 de noviembre de 2010 (recurso 261-2007), afirmando a continuación que dicha jurisprudencia “no ha concretado expresamente los términos o parámetros sobre los que debe fijarse la base sancionadora”. A continuación, cita las Sentencias de esta misma Sala de la Audiencia Nacional, de 21 noviembre 2013 (recurso 278-2012) y de 17 diciembre 2013 (recurso 486-2012), en las que se consideró sancionable la citada conducta pero considerando aplicable la sanción no sobre la cuota, sino sobre la cuantía de los intereses de demora correspondientes al retraso.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Centra la duda de constitucionalidad en la desproporción que supone la cuantía de la sanción, que alcanza el 50 por 100 de la cuota, en los casos en no se cumplen los requisitos para la regularización tributaria previstos en el artículo 27. Su apartado cuarto dispone que, para que pueda ser aplicable el recargo en lugar de la sanción, las autoliquidaciones extemporáneas deberán identificar expresamente el período impositivo de liquidación al que se refieren y deberán contener únicamente los datos relativos a dicho periodo. En estos casos, la Administración tributaria tiene en cuenta como base sancionadora la que resulta del artículo 191.1 in fine, que dispone que la base de la sanción sea la cuantía no ingresada en la autoliquidación como consecuencia de la comisión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a continuación a la doctrina del Tribunal Constitucional, en relación con la posibilidad de controlar la constitucionalidad de las normas legales; en concreto a la STC 61/1997 en cuyo fundamento jurídico 12 se refería que para entender que una norma es desproporcionada ha de concurrir un desequilibrio patente y excesivo o irrazonable entre la sanción y la finalidad de la norma a partir de las pautas axiológicas constitucionalmente indiscutibles. De esta manera, para entender que la norma es desproporcionada deberá concurrir tal desequilibrio, o lo que es lo mismo, un patente derroche inútil de coacción que convierte a la norma en arbitraria y que socava los principios elementales de justicia inherentes a la dignidad de la persona y al estado de derecho, o una actividad pública arbitraria y no respetuosa con la dignidad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base en lo anterior considera que resulta desproporcionado el resultado toda vez que una interpretación conjunta del art. 191.6 LGT en relación con el apartado primero del mismo precepto puede ocasionar que quien no ha regularizado la deuda tributaria en los términos del art. 27.4 LGT pueda verse sujeto a la misma sanción, o parecida en su cuantía, que quien no ha realizado ingreso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concluye haciendo hincapié en que la aplicación del art. 191.6 sobre el criterio fijado en el art. 191.1.4 para determinar la base sancionadora y sobre un tipo único del 50 por 100 que no admite graduación, puede ser contraria al principio de igualdad al poderse sancionar con la misma cuantía a quienes regularizan tardíamente incumpliendo las obligaciones formales del art. 27.4 LGT, frente a quien no realiza ingreso alguno, añadiendo la patente desproporción entre la gravedad de la conducta y la cuantía sancionadora, lo que puede suponer a su vez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duda de inconstitucionalidad se plantea respecto del art. 191.6 LGT, en relación con el art. 191.1.4 párrafo y 191.2 in fine, del mismo texto legal, por posible vulneración del principio de proporcionalidad de las sanciones administrativas del art. 25.1 CE, en relación con el principio de interdicción de la arbitrariedad del art. 9.3 CE y el principio de igualdad del art. 14 en relación con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abril de 2015, la Sección Segunda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20 de mayo de 2015, en el que considera que la cuestión de inconstitucionalidad es inadmisible por entender que carecen manifiestamente de fundamento las dudas suscitadas por el órgano judicial que la ha promovido,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recoger de forma sucinta los antecedentes del presente asunto, destaca la identidad entre la presente cuestión de inconstitucionalidad y la número 4430-2014, planteada por la misma Sección Sexta de la Sala de lo Contencioso-Administrativo de la Audiencia Nacional, por Auto de 3 de junio de 2014 con respecto de los mismos preceptos de la Ley general tributaria y denunciando la infracción de los mismos preceptos constitucionales. Sobre la cuestión de inconstitucionalidad 4430-2014 el mismo Fiscal alegó acerca de su inadmisión, siendo las alegaciones acogidas por el Pleno del Tribunal Constitucional en su ATC 20/2015, de 3 de febrero, que procedió a inadmitir la cuestión de inconstitucionalidad por ser notoriamente infundada. Anuncia así que en lo que sigue reproducirá las alegaciones hechas en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Comienza destacando el escrito que el Tribunal que plantea la cuestión ya había resuelto el problema: la posible falta de proporcionalidad de la sanción que resulta de aplicar a los supuestos de infracción del art. 196.1 LGT, que contempla el denominado “decalaje” o ingreso de la deuda tributaria fuera del plazo reglamentariamente establecido y lo dispuesto en el art. 191.1.4, que se refiere a la base sobre la que se aplicará sanción. En concreto, dicho problema había sido resuelto mediante una interpretación de este precepto legal conforme con el principio de proporcionalidad de las sanciones tributarias, lo que se llevó a cabo en las Sentencias dictadas por el mismo Tribunal de 21 de noviembre de 2013 (recurso núm. 278-2012) y de 17 de diciembre de 2013 (recurso núm. 486-2012). En ellas se interpretaba que si bien de acuerdo con la jurisprudencia del Tribunal Supremo no es posible en los supuestos a los que se refiere el art. 191.6 aplicar el régimen de recargos del art. 27.4 LGT, ya que no existe una regularización tácita, sin embargo, en estos casos la base de la sanción debe ser la cantidad efectiva dejada de ingresar, “que se limita a los intereses por el retraso en efectuar el ingreso, a lo que debe añadir el recargo por la extemporaneidad de la declaración y sobre la suma de estos dos importes aplicar el tipo sancionador correspondiente. De lo contrario se produciría una clara desproporción entre lo dejado de ingresar y la cuantía que constituye objeto de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las citadas Sentencias, se formaliza la presente cuestión de inconstitucionalidad sin que en el Auto de planteamiento el Tribunal a quo exprese un razonamiento que justifique suficientemente su cambio de criterio acerca de la imposibilidad de que las normas reciban una interpretación conforme al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del Tribunal Constitucional que el enjuiciamiento de la constitucionalidad de las normas legales ha de hacerse siempre desde un principio favorable a su mantenimiento en el ordenamiento jurídico, el cual debe producirse cuando es posible una interpretación de la norma respetuosa con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Tribunal a quo ha rechazado, al plantear la cuestión de inconstitucionalidad, la posibilidad de interpretar las normas cuestionadas, en particular el art 191.6, en relación con el art 191.1 párrafo 4, de manera conforme a la Constitución, sin justificar las razones por las que, modificando su criterio, considera que no cabe esa interpretación conforme con el principio de proporcionalidad de las sanciones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le lleva a concluir que, desde esta perspectiva, la cuestión planteada no está debidamente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Sin perjuicio de lo anterior, examina si las concretas dudas de inconstitucionalidad pudieran considerarse fundadas, comenzando con la posible infracción del art. 14 en relación con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en este caso vulneración alguna del principio de igualdad porque no concurre el presupuesto consistente en que los términos de comparación ofrecidos sean idénticos. En el Auto se contrastan supuestos de infracción leve y grave, sin que se invoque en la cuestión planteada ningún trato discriminatorio o desigual para los mismos. Tampoco se constata que exista ningún trato igualitario de conductas infractoras distintas, dado que, como reconoce el propio Tribunal a quo en su Auto de planteamiento, las infracciones graves no tienen un régimen sancionador idéntico al de las leves; el art. 191.3 y 4 LGT prevé, respectivamente, tipos sancionadores diferentes, que van del 50 al 100 por 100 en el caso de las infracciones graves y del 50 a 150 por 100 en el caso de infracciones muy graves, de suerte que no cabe afirmar que se hace de igual condición a conductas de diferente antijuridicidad.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que en este caso no entraría en juego el art. 31.1 CE sino el art. 14 CE, toda vez que lo que se denuncia es un trato diferente en relación con el presupuesto legal, y no desigualdad en relación con la capacidad económica y la progresividad, citando en ese sentido el ATC 261/2013, de 15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refiere a continuación a la pretendida infracción del principio de interdicción de la arbitrariedad y del principio de legalidad sancionadora (arts. 9.3 y 25.1 CE), destacando que en realidad el planteamiento que se hace por el Tribunal se articula sobre la base de que conductas infractoras de distinta gravedad puedan ser sancionadas de igual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de forma sucinta la argumentación del Tribunal a quo, se refiere a la doctrina del Tribunal Constitucional que ha venido a establecer que el principio de proporcionalidad no es un canon de constitucionalidad autónomo, sino que debe ser puesto en conexión con otros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arbitrariedad de las normas cuestionadas se basa en que los artículos citados establecerían una sanción para las conductas de no ingreso en plazo de los tributos conocidas con la denominación de “decalaje” que resultaría desproporcionada en relación con su propia gravedad. Insiste nuevamente en que la Sala de lo Contencioso-Administrativo que plantea la cuestión ya había resuelto la citada cuestión de inconstitucionalidad de la falta de proporcionalidad precisamente, realizando una interpretación del art. 191.1 párrafo 4 conforme a dicho principio, lo que privaría a la cuestión ahora suscitada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 que incluso prescindiendo de la citada interpretación conforme, el art. 191.1.4 que establece las normas cuestionadas para las conductas definidas en el art. 191.6 no puede ser considerado arbitrario por desproporcionado. En efecto, en aquellos casos en los que el contribuyente no observa lo dispuesto en el art. 27.4 LGT, no cabe hablar de regularización auténtica, existiendo un grado de ocultación que impide a la administración conocer en base a la autoliquidación presentada con posterioridad la realidad tributaria sin necesidad de comprobación o investigación. Ello justifica que se trate de una conducta antijurídica cuya gravedad ha sido valorada por el legislador para disuadir este tipo de ocultaciones.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han quedado por tanto acreditadas la falta de justificación lógica y razonable de dicha regulación, de suerte que las dudas de constitucionalidad de las normas cuestionadas carecen notoriamente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Contencioso-Administrativo, Sección Sexta, de la Audiencia Nacional, respecto del art. 191.6 de la Ley 58/2003, de 17 de diciembre, general tributaria (LGT en lo que sigue), en relación con el art. 191.1.4 párrafo y 191.2 in fine,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191.6 LGT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dispuesto en los apartados anteriores, siempre constituirá infracción leve la falta de ingreso en plazo de tributos o pagos a cuenta que hubieran sido incluidos o regularizados por el mismo obligado tributario en una autoliquidación presentada con posterioridad sin cumplir los requisitos establecidos en el apartado 4 del artículo 27 de esta ley para la aplicación de los recargos por declaración extemporánea sin requerimiento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previsto en este apartado no será aplicable cuando la autoliquidación presentada incluya ingresos correspondientes a conceptos y períodos impositivos respecto a los que se hubiera notificado previamente un requerimiento de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191.1.4 párrafo,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de la sanción será la cuantía no ingresada en la autoliquidación como consecuencia de la comisión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art. 191.2, in fine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sanción por infracción leve consistirá en multa pecuniaria proporcional del 50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la duda de constitucionalidad del órgano promotor se centra en la posible vulneración de los arts. 14, 31.1, 9.3 y 25.1 CE. Concretamente, considera el órgano judicial que la aplicación de la sanción prevista en el art. 191.6 LGT, sobre la base fijada en el art. 191.1.4 y con un tipo sancionador único del 50 por 100 que no admite graduación (art. 191.2 in fine LGT) puede vulnerar, de una parte, el principio de igualdad (art. 14 en relación con el art. 31.1 CE) al poderse sancionar con la misma cuantía a quienes regularizan tardíamente incumpliendo las obligaciones formales del art. 27.4 LGT, frente a quien no realiza ingreso alguno y, de otra, el principio de proporcionalidad de las sanciones administrativas del art. 25.1 CE, en relación con el principio de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que constan en los antecedentes, se opone a la admisión a trámite de la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20/2015, de 3 de febrero, hemos resuelto la cuestión de inconstitucionalidad registrada con el número 4430-2014, cuyos fundamentos son similares a la presente, habiendo sido promovida por el mismo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debemos alcanzar en este caso la misma conclusión de inadmisión, por manifiestamente infundada, a partir de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órgano judicial duda de que el art. 191.6 LGT sea respetuoso con el principio de igualdad (art. 14 en relación con el art. 31.1 CE), al poder llegar a sancionar con la misma cuantía fijada por una misma base y tipo del 50 por 100 a quien regulariza tardíamente incumpliendo las obligaciones formales del art. 27.4 LGT y a quien no realiza ingreso alguno de la deuda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no tiene fundamento desde la perspectiva planteada, ya que incluso si resultara que dos conductas diferentes (regularización tardía o falta de ingreso) pudieran recibir una misma sanción, ello carecería en sí mismo de relevancia desde la perspectiva del principio de igualdad protegido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afirmamos en el citado ATC 20/2015, con cita de doctrina anterior,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y resulte desproporcionada en relación con dicha justificación. Lo que prohíbe el principio de igualdad son, en suma, las desigualdades que resulten artificiosas o injustificadas por no venir fundadas en criterios objetivos y razonables, según juicios de valor generalmente aceptados. Para que sea constitucionalmente lícita la diferencia de trato, las consecuencias jurídicas que se deriven de tal distinción deben ser proporcionadas a la finalidad perseguida, de suerte que se eviten resultados excesivamente gravosos o desmedidos’ [entre otras, STC 21/2002, de 28 de enero, FJ 4; con cita de las SSTC 76/1990, de 26 de abril, FJ 9; y 289/2000, de 30 de noviembre, FJ 6)]. Por lo tanto, el distinto trato que la ley pueda otorgar ante situaciones iguales debe tener una justificación objetiva y razonable y, además, superar un juicio de proporcionalidad sobre la relación existente entre la medida adoptada, el resultado producido y la finalidad pretendida (SSTC 22/1981, de 2 de julio, FJ 3; 2/1983, de 24 de enero, FJ 4; 209/1987, de 22 de diciembre, FJ 3; 20/1991, de 31 de enero, FJ 2; 176/1993, de 27 de mayo, FJ 2; 117/1998, de 2 de junio, FJ 8; y 39/2002, de 14 de febrero, FJ 4, por todas). Ahora bien, también hemos reiterado que la desigualdad por indiferenciación no está protegida constitucionalmente, de manera que el art. 14 CE se limita a prohibir la distinción infundada o discriminatoria, pero no consagra un derecho a la desigualdad de trato, ni ampara la falta de distinción de la norma, no existiendo en consecuencia un derecho subjetivo al trato normativo desigual (STC 183/2014, de 6 de noviembre, FJ 3, con cita de las SSTC 38/2014, de 11 de marzo, FJ 6; y 198/2012, de 6 de noviembre, FJ 13)” (ATC 20/2015,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duda también de la compatibilidad entre el art. 191.6 LGT y los arts. 9.3 y 25.1 CE, por existir una gran desproporción entre la gravedad de la conducta —ingreso fuera de plazo sin cumplir los requisitos formales del art. 27.4 LGT— y la cuantía sancionadora (art. 25.1 CE). Con ello se incurre a su vez en arbitrariedad, al poder ser sancionada de forma igual una infracción leve que la infracción grave consistente en la falta de ingreso alguno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que el principio de proporcionalidad “no constituye en nuestro ordenamiento constitucional un canon de constitucionalidad autónomo cuya alegación pueda producirse de forma aislada respecto de otros preceptos constitucionales” (STC 161/1997, de 2 de octubre, FJ 8), afirmamos en el ATC 20/2015 que “cuando se aduce la existencia de un trato desproporcionado, debe primero alegarse en qué medida se afecta, además, al contenido de otros derechos constitucionales, pues sólo cuando la desproporción suponga vulneración de dichos derechos cabrá, en su caso, declarar la inconstitucionalidad de la norma (SSTC 55/1996, de 28 de marzo, FJ 3; y 136/1999, de 20 de julio, FJ 22). Incluso allí donde se encuentran efectivamente involucrados derechos fundamentales, como ocurre en el ámbito del art. 25.1 CE, hemos insistido en que el punto de partida del análisis es la potestad exclusiva del legislador para configurar el sistema de infracciones y sanciones atendiendo a los bienes jurídicamente protegidos de suerte que la proporción entre las conductas que se pretenden evitar y las sanciones con las que intenta conseguirlo es puramente un ‘juicio de oportunidad’, que corresponde realizar al legislador, estando el juicio de constitucionalidad limitado ‘a verificar que la norma penal no produzca un patente derroche inútil de coacción que convierte la norma en arbitraria y que socava los principios elementales de justicia inherentes a la dignidad de la persona y al Estado de Derecho” (STC 60/2010, de 7 de octubre, FJ 7 a), con cita de las SSTC 127/2009, de 26 de mayo, FJ 8; 136/1999, de 20 de julio, FJ 23; 55/1996, de 28 de marzo, FFJJ 6 y ss., y 161/1997, de 2 de octubre, FFJJ 9 y ss.; entre otras)’ ” (ATC 20/2015,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nos permitió recordar, en el mismo fundamento, que es función primordial de los Tribunales ordinarios determinar si se ha respetado la garantía del art. 25.1 CE en el plano aplicativo; sin que corresponda a este Tribunal pronunciarse sobre si resulta oportuna o adecuada, en abstracto, la decisión del legislador de sancionar la conducta descrita en el art. 191.6 LGT con una cuantía fija del 50 por 100 de la cuota. En ese sentido es de destacar, como pone de manifiesto el Fiscal General del Estado en su escrito, que el órgano promotor de la cuestión había resuelto ya la duda de constitucionalidad llevando a cabo una interpretación de los preceptos legales ahora cuestionados conforme con el principio de proporcionalidad de las sanciones tributarias. El motivo debe considerarse también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Carece finalmente también de fundamento, afirmamos en el ATC 20/2015, FJ 5, el reproche de arbitrariedad en sentido estricto (art. 9.3 CE), sin perjuicio de que “debe recordarse que una eventual actuación arbitraria de la Administración tributaria en modo alguno convierte a la norma legal en arbitraria, siendo precisamente función de los órganos judiciales del orden contencioso-administrativo controlar dicha actuación y, por lo que se refiere en concreto a este supuesto, verificar que se cumple efectivamente el tipo infractor del art. 191.6 LGT y que el art. 25.1 CE ha sido respetado en el plano aplicativo (SSTC 199/2014, de 15 de diciembre, FJ 3; y 218/2005, de 12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la cuestión de inconstitucionalidad no es, en fin, “resolver controversias interpretativas sobre el alcance de determinado precepto legal, cuestión esta extramuros de la jurisdicción constitucional y para la que el ordenamiento jurídico dispone de otros cauces (ATC 255/2013, de 5 de noviembre, FJ 4, con cita de otros muchos)” (ATC 20/2015,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precedentes permiten concluir, al igual que hicimos en el citado ATC 20/2015, que no cabe apreciar la pretendida contradicción de las disposiciones cuestionadas con la Constitución, por lo que resulta procedente declarar en este momento procesal, de conformidad con lo alegado por el Fiscal General del Estado, que la cuestión resulta notoriamente infundada (art. 37.1 LOTC) y ha de ser por ello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