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octubre de 2014, el Procurador de los Tribunales don Alberto Collado Martín, en nombre y representación del Ayuntamiento de Toledo, presentó en el Registro General de este Tribunal demanda de amparo contra el Auto de la Sección Quinta de la Sala Tercera del Tribunal Supremo de 15 de julio de 2014, que desestimó el incidente de nulidad interpuesto contra la Sentencia de la misma Sección de 27 de febrero de 2014, que a su vez desestimó el recurso de casación interpuesto contra la Sentencia de la Sección Primera de la Sala de lo Contencioso-Administrativo del Tribunal Superior de Justicia de Castilla-La Mancha de 26 de julio de 2011, que estimó el recurso formulado frente a la orden de la Consejería de Vivienda y Urbanismo de 26 de marzo de 2007, por el que se aprobaba 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su demanda de amparo que las resoluciones mencionadas han vulnerado su derecho fundamental a la tutela judicial efectiva y a un proceso con todas las garantías (arts. 24.1 y 24.2 CE), al incurrir en exceso de jurisdicción por inaplicación de las leyes autonómicas vigentes en materia de urbanismo sin el previo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mayo de 2015, la Sala Primera de este Tribunal acordó admitir a trámite la demanda de amparo y ordenar que se formase la presente pieza separada de suspensión, concediendo a la demandante de amparo y al Ministerio Fiscal, conforme a lo dispuesto en el art. 56 de la Ley Orgánica del Tribunal Constitucional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este Tribunal el 2 de junio de 2015, el demandante de amparo solicitó que se acordara la suspensión interesada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demandante que la ejecución de la Sentencia causaría un perjuicio irreparable que haría perder al amparo su finalidad. Afirma que la Sección Primera de la Sala de lo Contencioso-Administrativo de Castilla-La Mancha en el Auto de 18 de marzo de 2015, ha resuelto que hasta que el Tribunal Constitucional se pronuncie procede mantener la suspensión de la ejecución al considerar que “el Plan General de Toledo, su vigencia y aplicación, como tal representa un interés público, económico, social y de terceros”. Argumenta que el incumplimiento del deber de plantear una cuestión de inconstitucionalidad no puede ser recompensado otorgando mayor eficacia a la sentencia incumplidora que al precepto legal desplazado, sin que la suspensión ocasione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idéntico trámite mediante escrito registrado en este Tribunal con fecha de 10 de junio de 2015, en el que se oponía a la suspensión solicitada debido a que conforme al art. 56.1 LOTC la interposición del recurso de amparo no suspenderá los efectos del acto o sentencia impugnados, salvo cuando la ejecución del acto o sentencia impugnados produzca un perjuicio al recurrente que pudiera hacer perder al amparo su finalidad, siempre y cuando dicha suspensión no ocasione perturbación grave a un interés constitucionalmente protegido, ni a los derechos fundamentales o libertades de otra persona (art. 56.2 LOTC). Siendo la regla general la improcedencia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Ministerio Fiscal que es necesario para acordar la suspensión que se cumpla el requisito de que, si ésta no se acordara, la eventual estimación del recurso de amparo sería ya “tardía” y el restablecimiento en el derecho constitucional vulnerado ya no podría ser efectivo sino “meramente ilusorio y nominal”, debiendo además ponderarse el perjuicio que se causa al recurrente como consecuencia de la eficacia de la resolución recurrida y, por otra, el perjuicio, en términos de perturbación grave, a un interés constitucionalmente protegido o a los derechos fundamentales y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a la doctrina del Tribunal Constitucional, según la cual, no procede la suspensión de las resoluciones judiciales con efectos meramente patrimoniales o económicos, al no derivarse de los mismos perjuicios irreparables (ATC 254/2009 de 28 octubre), salvo que el recurrente justificase cumplidamente que el no otorgamiento de la suspensión le ocasionaría un perjuicio irreparable que haría perder al amparo su finalidad. Con cita de la doctrina del Tribunal Constitucional afirma que procederá la suspensión cuando la ejecución comporte perjuicios económicos difícilmente reparables por su entidad o por la irreversibilidad de las situaciones jurídicas que puedan producirse. A ello se añade que es carga del recurrente probar que la ejecución del acto o Sentencia impugnados deba producirle un perjuicio que hiciere perder al amparo su finalidad (ATC 199/2010 de 21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sus alegaciones afirmando la improcedencia de la suspensión solicitada al tener un contenido patrimonial, que se ciñe a la anulación del plan de ordenación municipal de Toledo, que se declara contrario a derecho, con retroacción de actuaciones de tramitación hasta la fase de nueva información pública. Además, la suspensión de resoluciones judiciales firmes entraña en sí misma una perturbación de la función jurisdiccional, sin que, por otra parte, el recurrente haya cumplido adecuadamente con la carga de acreditar el perjuicio irreparable, pues ni la anulación del plan comporta necesariamente la inminente demolición “de todo cuanto se ha construido”, ni la anulación de infinidad de autorizaciones de usos, determinantes del cese inmediato de actividades y sacrificio de puestos de trabajo, de manera que las manifestaciones sobre los perjuicios que se ocasionarían no vienen acompañadas de elementos cuantitativos o cualitativos —aún como “principio razonable de prueba”— que concreten su existencia, alcance e irreparabilidad.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de la Ley Orgánica del Tribunal Constitucional (LOTC) que cuando la ejecución del acto o sentencia impugnados produzca un perjuicio al recurrente que pudiese hacer perder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y siempre “que la suspensión no ocasione perturbación grave a un interés constitucionalmente protegido, ni a los derechos fundamentales o libertades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122/2012, de 18 de junio, entre muchos). Por esta razón este Tribunal no accede, salvo excepciones, a la solicitud de suspensión de resoluciones que imponen obligaciones de pago de cantidad o, en general, de contenido económico o patrimonial, pues la lesión que de ellas se deriva es normalmente reparable (AATC 125/2003, de 23 de abril; 326/2005, de 12 de septiembre; 152/2006, de 8 de mayo; 357/2006, de 9 de octubre; 118/2008, de 28 de abril; 388/2008, de 15 de diciembre; y 20/2009 de 26 de enero; 95/2010, de 19 de julio, y 81/2012, de 7 de mayo,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que, por más que puedan producir efectos desfavorables a quien demanda amparo, no pueden considerarse, en principio, como causa suficiente para acordar la suspensión de una resolución judicial firme (AATC 93/2002, de 3 de junio; 106/2002, de 17 de junio; 165/2003, de 19 de mayo; 326/2005, de 12 de septiembre, y 386/2008, de 15 de diciembre, por todos). Sólo en el caso de que el recurrente en amparo justificase cumplidamente que el no otorgamiento de la suspensión le ocasionaría un perjuicio irreparable que haría perder al amparo su finalidad, (entre otros, ATC 185/2014, de 8 de julio), y siempre que de dicha medida cautelar no se siga perturbación grave de los intereses generales o de los derechos y libertades fundamentales de un tercero, procedería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es doctrina constante del Tribunal que para excepcionar la regla general de la no suspensión es carga del recurrente probar que la ejecución del acto o Sentencia impugnados deba producirle un perjuicio que hiciere perder al amparo su finalidad (por todos AATC 39/2008, de 11 de febrero, FJ 1; 40/2008, de 11 de febrero, FJ 3, y 59/2008, de 20 de febrero, FJ 2). Así respecto de la carga alegatoria y probatoria del incidente en ATC 81/2012, de 7 de mayo, FJ 3, con cita de otros, hemos afirmado: “la acreditación del perjuicio es carga del recurrente, quien debe precisar los concretos perjuicios que de la ejecución se deriven, así como justificar o argumentar razonadamente la irreparabilidad de los mismos (AATC 107/1981, 226/1982, 385/1983, y 193/1984). A la par hemos dicho que, en todo caso, el perjuicio irreparable debe ser real, sin que sea posible alegar un perjuicio futuro o hipotético o un simple temor (AATC 490/1984, 399/1985, y 51/1989, entre otros muchos),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del examen de la solicitud de suspensión formulada cabe concluir que no se han acreditado circunstancias excepcionales que lleven a conceder la suspensión pedida. En efecto, como bien indica el Ministerio Fiscal, la suspensión que se solicita tiene un contenido patrimonial, que se circunscribe a la anulación del plan de ordenación municipal de Toledo, con retroacción de actuaciones de tramitación hasta la fase de nueva información pública. Ahora bien, dicho pronunciamiento no comporta como afirma el recurrente “la demolición de todo cuanto se ha construido”, ni tal consecuencia resulta acreditada por el documento núm. 6 al que alude el demandante y que se acompaña con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insistirse en que el perjuicio irreparable debe ser real, sin que sea posible alegar un perjuicio futuro o hipotético. No basta con afirmaciones genéricas relativas a que la ejecución comportará “una verdadera catástrofe de consecuencias incalculables no solo en pérdidas económicas o patrimoniales, incluyendo demoliciones de lo construido con arreglo al Plan y anulación de infinidad de autorizaciones de usos, sino computables también en el número de puestos de trabajo que puede quedar sacrificados”, sino que se deben precisar los concretos perjuicios que de la ejecución se derivaran. Carga probatoria que la Administración recurrente no aporta, al omitir datos concretos que puedan ser calificados de principio razonable de prueba y que permitan avalar lo manifestado, sino que se limita a efectuar una afirmación genérica e inconcreta carente de la necesaria acreditación. En tal sentido, como indica el Ministerio Fiscal, ni la anulación del plan comporta necesariamente la inminente demolición de todo cuanto se ha construido, ni supone la anulación de infinidad de autorizaciones de usos, determinantes del cese inmediato de actividades y sacrificio de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ausencia actual de las circunstancias excepcionales que llevan a conceder la suspensión pedida, esto es, la falta de acreditación de un perjuicio irreparable, real y concreto, no es óbice para que en un momento posterior durante el curso del procedimiento de amparo, el recurrente pueda plantear de nuevo ante este Tribunal la procedencia de la suspensión, “en virtud de circunstancias sobrevenidas o que no pudieron ser conocidas al tiempo de sustanciarse el incidente de suspensión” (ex art. 57 LOTC), que satisfagan el presupuesto exigido.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