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9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5 de febrero de 2015, don Santiago Francisco Rodríguez Muñoz, interno en el centro penitenciario de Jaén, manifestó su intención de interponer recurso de amparo contra el Auto del Juzgado Central de Menores (con funciones de vigilancia penitenciaria) de 4 de noviembre de 2014, por el que se desestimaba el recurso de reforma interpuesto contra el Auto del mismo Juzgado de 25 de agosto de 2014, desestimatorio, a su vez, del recurso de alzada formulado contra la sanción impuesta por el centro penitenciario de Huelva en el expediente disciplinario núm. 380-2014. Aducía el actor que el Auto resolutorio de la reforma era un simple formulario carente de motivación y que no entraba en el examen de las circunstancias concurrentes, por lo que vulneraba su derecho a la tutela judicial efectiva y su derecho de defensa. Asimismo, solicitaba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que se acordara la admisión a trámite del recurso, por el Juzgado Central de Menores se puso en conocimiento de este Tribunal, a través de certificación expedida por su Secretaria, que el Auto de 4 de noviembre de 2014 no consta como resolución definitiva dictada en el recurso de reforma núm. 548-2014, interpuesto por el demandante de amparo, aunque por error fue remitido al Centro Penitenciario de Huelva, para su notificación al interno, un simple borrador realizado en esa fecha sin haber sido revisado ni firmado por el Magistrado ni por la Secretaría del Juzgado. Asimismo, hizo constar el Juzgado que con fecha 20 de febrero de 2015 se dictó Auto estimatorio del recurso de reforma, que fue notificado al recurrente el 5 de marzo de 2015, y que, detectado el error, el 6 de marzo de 2015 se dicta Auto aclaratorio de tales extremos, que procede a anular cualquier anotación en el expediente del interno relativa al expediente disciplinario núm. 380-2014, así como a acordar el abono al interno del tiempo cumplido en la sanción y que, en su defecto, se proceda en virtud de lo dispuesto en el art. 263 del Reglamento penitenciario. Dicho Auto aclaratorio se adjunta a la comunicación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recibida la comunicación del Juzgado Central de Menores, la Sección Tercera de este Tribunal, por providencia de 20 de marzo de 2015, acordó conceder un plazo de diez días a las partes y al Ministerio Fiscal para que, en virtud del art. 84 de la Ley Orgánica del Tribunal Constitucional, alegaran lo que estimaran conveniente sobre la falta de objeto sobrevenida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4 de mayo de 2015, en el que consideró que, atendidas las circunstancias del caso, quedando sin efecto la resolución objeto del amparo y dictándose una nueva que otorga la razón al recurrente y anula la sanción impuesta, ha desaparecido la causa origen del recurso de amparo, quedando el mismo sin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En estos supuestos, por tanto, la demanda de amparo deja de tener objeto, toda vez que la reparación de la lesión del derecho fundamental por los propios órganos judiciales, antes de que este Tribunal haya dictado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de la Ley Orgánica del Tribunal Constitucional: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y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presentes actuaciones se desprende que al actor le fue impuesta una sanción disciplinaria por el centro penitenciario de Huelva (expediente núm. 380-2014), frente a la cual interpuso recurso de alzada, desestimado por el Juzgado Central de Menores de la Audiencia Nacional, con funciones de vigilancia penitenciaria, mediante Auto de 25 de agosto de 2014, contra el cual promovió recurso de reforma, que fue aparentemente desestimado mediante Auto de 4 de noviembre de 2014, notificado al actor el 21 de enero de 2015. Sin embargo, según ha certificado dicho Juzgado, este último Auto era un simple borrador no firmado por el Magistrado y la Secretaria, y no la resolución definitiva, que fue dictada con fecha 20 de febrero de 2015, y en la que se estimó el recurso de reforma, anulando la sanción impuesta. Estos extremos fueron aclarados en virtud de Auto del mismo Juzgado de 6 de marzo de 2015, en el cual, además, se acordó anular cualquier anotación en el expediente del interno relativa al expediente disciplinario así como el abono a aquél del tiempo cumplido en la sanción y, en su defecto, que se procediera a conceder la recompensa del art. 263 del Reglamento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y teniendo en cuenta que ello supone la estimación de la pretensión que el recurrente quería plantear ante este Tribunal, de conformidad con lo dispuesto en los arts. 80 y 86.1 LOTC, en relación con el art. 22 de la Ley de enjuiciamiento civil, procede declarar la perdida de objeto del presente recurso, en tanto que la continuación del proceso no satisface ningún interés, al haberse dejado sin efecto el acto lesivo.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