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noviembre de 2014 se registró en este Tribunal un oficio del Secretario de la Sala de lo Social del Tribunal Superior de Justicia de Castilla y León (Burgos) mediante el que se remiten las actuaciones correspondientes al rollo de suplicación 589-2014, que incorporan el Auto de 15 de octubre de 2014 planteando cuestión de inconstitucionalidad contra el art. 2.1 del Real Decreto-ley 28/2012, de 30 de noviembre, de medidas de consolidación y garantía del sistema de la Seguridad Social, por vulneración del principio de irretroactividad de las disposiciones restrictivas de derechos individuales (art. 9.3 CE) y del derecho de propiedad (art. 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Social núm. 1 de Burgos dictó Sentencia estimando la demanda interpuesta por un pensionista en cuanto a la actualización de su pensión. El Juzgado de lo Social afirma en el fallo que “estimo la demanda … con los siguientes pronunciamientos: 1.- Declaro el derecho de la demandante a que se considere como pensión del año 2012 la señalada en el apartado segundo del relato histórico de la presente incrementada en un 2,9 por 100 y que la misma sirva de base para el incremento acordado en el año 2013 y 2014 debiendo el demandado estar y pasar por tal declaración. 2.- Declaro el derecho del actor a percibir las diferencias correspondientes al año 2012 que son la diferencia entre el 1 por 100 aplicado y el 2,9 por 100 debido".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Recurrida la Sentencia en suplicación y una vez conclusos los autos y dentro del plazo para dictar sentencia, mediante providencia de 24 de septiembre de 2014, se dio traslado las partes y al Ministerio Fiscal para que alegaran sobre la pertinencia de plantear cuestión en relación con el art. 2.1 del Real Decreto-ley 28/2012, por posible vulneración del art. 9.3 CE. El Fiscal consideró que concurriendo las condiciones procesales necesarias, y habiendo sido superados los juicios de aplicabilidad y relevancia, procedía la elevación de la cuestión. El Letrado de la Seguridad Social se pronunció sobre la constitucionalidad del precepto, mientras que la demandante se mostró conforme con los razonamientos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la Sala de planteamiento de la presente cuestión, de 15 de octubre de 2014, se fundamenta en los argumentos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exposición de la doctrina constitucional relativa a la irretroactividad de las disposiciones sancionadoras no favorables o restrictivas de derechos individuales prevista en el art. 9.3 CE, y destacar el carácter restrictivo con que este precepto debe ser interpretado, señala que lo primero que hay que despejar es si en el caso existe un derecho individual desde la consideración restrictiva apuntada por el Tribunal Constitucional, “lo que entendemos que merece una respuesta positiva”, si más argumentación. En segundo lugar, debe analizarse si, aun siendo de grado máximo, carece realmente de justificación habilitante, puesto que el Tribunal Constitucional admite que “la prohibición de retroactividad operaría plenamente y solo exigencias del bien común podrían imponerse excepcionalmente a tal principio” (STC 197/1992).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 El desarrollo del art. 50 CE se ha realizado a través del art. 48 de la Ley general de la Seguridad Social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el órgano judicial señala que “el objeto de la presente reclamación de conformidad con el suplico de la demanda, y que conduce a esta Sala a plantear la cuestión de inconstitucionalidad, es si la supresión de la paga compensatoria que dispone el art. 2.1 del Real Decreto-ley 28/2012, y efectos en la fijación de la cuantía de la pensión de revalorización para el año 2013,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argumenta que si entendemos que es un derecho adquirido, y planteamos la expropiación de dicho derecho, ha de acudirse a la Ley de expropiación forzosa. Considera que el Tribunal Constitucional define la expropiación forzosa como “una privación singular de la propiedad privada o de derechos o intereses patrimoniales legítimos acordada imperativamente por los poderes públicos por causa justificada de utilidad pública o interés social”. De la privación singular deben diferenciarse, siempre según el Auto, las medidas legales de delimitación o regulación general del contenido del derecho. No obstante, la delimitación legal del contenido de los derechos patrimoniales no puede desconocer su contenido esencial, pues en tal caso no cabría hablar de una regulación general del derecho, sino de una privación o supresión del mismo que, aun cuando predicada por la norma de manera generalizada, se traduciría en un despojo de situaciones jurídicas individualizadas, no tolerado por la norma constitucional, salvo que medie la indemnización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Sala acuerda elevar la siguiente cuestión de inconstitucionalidad: el art. 2.1 del Real Decreto-ley 28/2012, deja sin efecto para el ejercicio 2012 la actualización de las pensiones en los términos previstos en el apartado 1.2 del art. 48 de la Ley general de la Seguridad Social y en el párrafo 2 del punto 1 del art. 27 de la Ley de clases pasivas, y como quiera que el Real Decreto-ley entró en vigor el 1 de diciembre de 2012, una vez transcurrido el periodo previsto en el art. 48 de la Ley general de la Seguridad Social para llevar a cabo la aplicación de la anualidad (noviembre 2011-noviembre 2012), y que la Ley 2/2012, de 29 de junio, de presupuestos generales del Estado para el año 2012, ninguna previsión realiza para el mantenimiento del poder adquisitivo de las pensiones, vulnera: a) lo dispuesto en el art. 9.3 CE por el que se garantiza la irretroactividad de las disposiciones restrictivas de derechos fundamentales individuales, y b) el art. 33.3 CE, de entender que por parte del aludido art. 2.1 del Real Decreto-ley 28/2012 serían objeto de expropiación los derechos de los perceptores de pensiones por cuanto son un derecho económico incorporado al patrimonio de aquellos, aunque no haya sido abonado pero sí devengado.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del Tribunal Constitucional acordó, mediante providencia de 9 de junio de 2015, oír al Fiscal General del Estado para que alegase acerca de la admisibilidad de la cuestión por si hubiese devenido notoriamente infundada (SSTC 49/2015, de 5 de marzo, 95/2015, de 14 de mayo, y 109/2015, de 28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10 de julio de 2015, tuvo entrada en este Tribunal el escrito de la Fiscal General del Estado, en el que expone que dada la identidad de las dudas inconstitucionalidad expuestas en la presente cuestión y las planteadas en el recurso de inconstitucionalidad núm. 1114-2013, resuelto por la STC 49/2015, así como en la cuestiones de inconstitucionalidad que han dado lugar a otras tantas sentencias, la cuestión debe ser inadmitida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Esta cuestión de inconstitucionalidad se plantea en relación al art. 2.1 del Real Decreto-ley 28/2012, de 30 de noviembre, de medidas de consolidación y garantía del sistema de la Seguridad Social, por posible vulneración de los arts. 9.3 y 33.3 CE. El órgano judicial arguye que la supresión de la paga compensatoria que dispone la norma cuestionada vulnera un derecho causado, consolidado y devengado, afectando con ello de forma retroactiva a derechos adquiridos. El Fiscal General del Estado, por el contrario, solicita su inadmisión por notoriamente infundada a la luz de la doctrina constitucional ya fijada.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37.1 de la Ley Orgánica del Tribunal Constitucional, este Tribunal puede rechazar en trámite de admisión y mediante Auto, sin otra audiencia que la del Fiscal General del Estado, la cuestión de inconstitucionalidad “cuando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49/2015, que resuelve un recurso de inconstitucionalidad dirigido contra el mismo precepto legal que la presente cuestión de inconstitucionalidad y fundado en la vulneración de idénticas reglas constitucionales, ha establecido, en relación a la pretendida vulneración del art. 9.3 CE,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Esta remisión es entendida por los recurrentes como un mero apunte contable, de manera que la Ley de Presupuestos, a su juicio, deberá limitarse a aprobar el crédito presupuestario correspondiente para hacer frente al pago de la diferencia del IPC en el ejercicio económico siguiente. Sin embargo, si esta hubiera sido la intención del legislador no hubiera sido necesario hacerlo constar expresamente en la ley, pues la necesidad de aprobar la correspondiente partida de gastos en los presupuestos del Estado se deriva de la obligación de pago antes del 1 de abril del ejercicio económico siguiente… La remisión que la LGSS y la Ley de Clases Pasivas del Estado hacen a la Ley de Presupuestos Generales del Estado no es, por tanto, una mera remisión a los efectos de que esta Ley habilite la correspondiente partida del gasto presupuestario, sino que supone el reconocimiento al legislador de un margen de discrecionalidad a la hora de concretar la eventual actualización de la revalorización en función de las circunstancias económicas y sociales en cada momento existentes, todo ello con la finalidad de asegurar la suficiencia y solvencia del Sistema de Seguridad Social. Sobre la base de la doctrina constitucional anteriormente expuesta, el legislador no ha hecho sino reconocer que la actualización de la revalorización de las pensiones efectuada al principio del ejercicio pueda ser modulada por la Ley de Presupuestos Generales del Estado en función de las circunstancias socioeconómicas concurrentes y, por ello, habilita a la Ley de Presupuestos para que decida cuál es el alcance de la actualización. De este modo, el eventual devengo de la diferencia entre el IPC real y el IPC previsto tendría lugar el 31 de diciembre, siendo la Ley de Presupuestos Generales del Estado el instrumento para determinar el quantum de esa actualización. … En consecuencia, dado que cuando se aprobó el Real Decreto-ley 28/2012 no existía una relación consagrada o agotada incorporada al patrimonio del pensionista, sino una mera expectativa, hemos de rechazar que la norma cuestionada haya incurrido en un supuesto de retroactividad auténtica o de grado máximo prohibido por el art. 9.3 CE”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STC 49/2015, en lo que hace a la alegada vulneración del art. 33.3 CE, resolvió que, de acuerdo con la legislación vigente (art. 48.1.2 de la Ley general de la Seguridad Social: LGSS), falta en el art. 2.1 del Real Decreto-ley 28/2012 un elemento indispensable para que pueda calificarse la no actualización de las pensiones de medida expropiatoria, cual es, dicho en los términos de la STC 108/1996, de 29 de julio, FJ 20, que “sólo son expropiables y, por tanto, indemnizables la privación de bienes y derechos o incluso intereses patrimoniales legítimos aun no garantizados como derechos subjetivos (por ejemplo, las situaciones en precario); pero en ningún caso lo son las expectativas”.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dudas de constitucionalidad que se suscitan en el presente proceso, al referirse a la misma disposición legal y fundarse en idénticos preceptos constitucionales que los asuntos resueltos del modo indicado por las SSTC 49/2015, 95/2015, y 109/2015, resultan notoriamente infundadas, en el significado que a esta noción le viene dando nuestra doctrina,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viabilidad de las mismas (por todas, STC 301/2014, de 16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6723-2014, planteada por la Sala de lo Social del Tribunal Superior de Justicia de Castilla y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de inadmisión dictado en la cuestión de inconstitucionalidad núm. 6723-2014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Tribunal en la que se sustenta el Auto, manifiesto mi discrepancia con la fundamentación jurídica y el fallo de este, que entiendo hubiera debido de ser de admisión y, en su día, haber dado lugar a una sentencia estimatoria por vulneración del principio de seguridad jurídica (art. 9.3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julio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