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24 de marzo de 2015 tuvo entrada en el Registro General de este Tribunal escrito de la Sala de lo Social del Tribunal Superior de Justicia de Castilla y León con sede en Burgos al que se acompaña, además del testimonio del procedimiento, Auto de 13 de febrero de 2015, por el que se plantea cuestión de inconstitucionalidad en relación con el art. 2.1 del Real Decreto-ley 28/2012, de 30 de noviembre, de medidas de consolidación y garantía del sistema de la Seguridad Social, por posible vulneración de los arts. 9.3 y 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cuestionado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segundo. Actualización y revalorización de pensiones.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Uno. Se deja sin efecto para el ejercicio 2012 la actualización de las pensiones en los términos previstos en el apartado 1.2 del artículo 48 del texto refundido de la Ley General de la Seguridad Social, aprobado por Real Decreto Legislativo 1/1994, de 20 de junio, y en el párrafo segundo del apartado 1 del artículo 27 del texto refundido de la Ley de Clases Pasivas del Estado, aprobado por Real Decreto legislativo 670/1987, de 30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Juzgado de lo Social núm. 1 de Burgos dictó Sentencia de 23 de octubre de 2014 estimando en parte la demanda interpuesta por una pensionista contra el Instituto Nacional de la Seguridad Social, reconociendo su derecho a que se considere como pensión del año 2012 “la señalada en el apartado segundo del relato histórico de la presente incrementada en un 2,9 por 100 y que la misma sirva de base para el incremento acordado en el año 2013” y a percibir las diferencias correspondientes al año 2012 que son la diferencia entre el incremento de 1 por 100 aplicado y el 2,9 por 100 debido.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Instituto Nacional de la Seguridad Social interpuso recurso de suplicación contra la mencionada Sentencia. Concluso el procedimiento y dentro del plazo para dictar Sentencia, el órgano judicial dictó providencia de 13 de enero de 2015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del art. 9.3 CE. El Ministerio Fiscal mostró su conformidad con el planteamiento de la cuestión. El Letrado de la Administración de la Seguridad Social sostiene que el precepto cuestionado no lesiona ni el art. 9.3 CE ni el art. 33 CE, invocando al efecto la doctrina establecida, respectivamente, en los AATC 85/2011 y 179/2011. La otra parte manifiesta su conformidad con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órgano judicial dictó el Auto de 13 de febrero de 2015 planteando la cuestión de inconstitucionalidad en relación con el art. 2.1 del Real Decreto-ley 28/2012 por posible vulneración de los arts. 9.3 y 33.3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de inconstitucionalidad se fundamenta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debe analizarse si, aun siendo de grado máximo, carece realmente de justificación habilitante, puesto que el Tribunal Constitucional admite que “la prohibición de retroactividad operaría plenamente y solo exigencias del bien común podrían imponerse excepcionalmente a tal principio” (STC 197/1992).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desarrollo del art. 50 CE se ha realizado a través del art. 48 del texto refundido de la Ley general de la Seguridad Social,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del texto refundido de la Ley general de la Seguridad Social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límite al importe de la revalorización de las pensiones contributivas se establece en el art. 49 de la Ley general de la Seguridad Social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CE, afectando de forma retroactiva a derechos adquiridos y con la vulneración del art. 9.3 CE que prohíbe la retroactividad de las disposiciones procesales (sic) restrictivas de los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argumenta que “si entendemos que es un derecho adquirido, y planteamos la expropiación de dicho derecho”, ha de acudirse a la Ley de expropiación forzosa. Considera que el Tribunal Constitucional define la expropiación forzosa como “una privación singular de la propiedad privada o de derechos o intereses patrimoniales legítimos acordada imperativamente por los poderes públicos por causa justificada de utilidad pública o interés social”. De la privación singular deben diferenciarse, siempre según el Auto, las medidas legales de delimitación o regulación general del contenido del derecho. No obstante, la delimitación legal del contenido de los derechos patrimoniales no puede desconocer su contenido esencial, “pues en tal caso no cabría hablar de una regulación general del derecho, sino de una privación o supresión del mismo que, aun cuando predicada por la norma de manera generalizada, se traduciría en un despojo de situaciones jurídicas individualizadas, no tolerado por la norma constitucional, salvo que medie la indemnización correspondiente” (y menciona las STC 227/1988, FJ 11; y 112/2006).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Sala acuerda elevar la siguiente cuestión de inconstitucionalidad: Si “[e]l artículo 2.1 del Real Decreto-ley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(noviembre 2011-noviembre 2012) y que la Ley 2/2012 de 29 de junio de Presupuestos Generales del Estado para el año 2012, ninguna previsión realiza para el mantenimiento del poder adquisitivo de las pensiones, vulnera: a) lo dispuesto en el artículo 9.3 de la Constitución española por el que se garantiza la irretroactividad de las disposiciones restrictivas de derechos fundamentales individuales; y b) el artículo 33 de la Constitución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junio de 2015, la Sección Segunda de este Tribunal acordó, a los efectos que determina el art. 37.1 de la Ley Orgánica del Tribunal Constitucional, oír al Fiscal General del Estado para que, en el plazo de diez días, alegase lo que considerara conveniente acerca de la admisibilidad de la presente cuestión de inconstitucionalidad por si hubiese devenido notoriamente infundada (SSTC 49/2015, de 5 de marzo; 95/2015, de 14 de mayo, y 109/2015, de 28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10 de julio de 2015. Considera que la cuestión de inconstitucionalidad es inadmisible por ser notoriamente infundada. Después de relacionar las circunstancias del caso, alude a la STC 49/2015 y añade que de sus fundamentos se desprende la plena identidad con la presente cuestión, ya que las alegaciones de los parlamentarios recurrentes apelaban a la posible violación de los arts. 9.3 y 33, además de otros preceptos, por lo que la posible duda de inconstitucionalidad ha quedado disipada por la referida STC 49/2015 y otras posteriores que han resuelto cuestiones de inconstitucionalidad, como las SSTC 95/2015, de 14 de mayo, y 109/2015, de 28 de mayo.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Esta cuestión de inconstitucionalidad se plantea en relación al art. 2.1 del Real Decreto-ley 28/2012, de 30 de noviembre, de medidas de consolidación y garantía del sistema de la Seguridad Social, por posible vulneración de los arts. 9.3 y 33.3 CE. El órgano judicial arguye que la supresión de la paga compensatoria que dispone la norma cuestionada vulnera un derecho causado, consolidado y devengado, afectando con ello de forma retroactiva a derechos adquiridos. El Fiscal General del Estado, por el contrario, sostiene que la posible duda de constitucionalidad queda disipada por la doctrina fijada en la STC 49/2015, de 5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37.1 de la Ley Orgánica del Tribunal Constitucional, este Tribunal puede rechazar en trámite de admisión y mediante Auto, sin otra audiencia que la del Fiscal General del Estado, la cuestión de inconstitucionalidad “cuando …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49/2015, que resuelve un recurso de inconstitucionalidad dirigido contra el mismo precepto legal que la presente cuestión de inconstitucionalidad y fundado en la vulneración de idénticas reglas constitucionales, ha establecido, en relación a la pretendida vulneración del art. 9.3 CE,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Esta remisión es entendida por los recurrentes como un mero apunte contable, de manera que la Ley de presupuestos, a su juicio, deberá limitarse a aprobar el crédito presupuestario correspondiente para hacer frente al pago de la diferencia del IPC en el ejercicio económico siguiente. Sin embargo, si esta hubiera sido la intención del legislador no hubiera sido necesario hacerlo constar expresamente en la ley, pues la necesidad de aprobar la correspondiente partida de gastos en los presupuestos del Estado se deriva de la obligación de pago antes del 1 de abril del ejercicio económico siguiente… La remisión que la LGSS y la Ley de clases pasivas del Estado hacen a la Ley de presupuestos generales del Estado no es, por tanto, una mera remisión a los efectos de que esta Ley habilite la correspondiente partida del gasto presupuestario, sino que supone el reconocimiento al legislador de un margen de discrecionalidad a la hora de concretar la eventual actualización de la revalorización en función de las circunstancias económicas y sociales en cada momento existentes, todo ello con la finalidad de asegurar la suficiencia y solvencia del Sistema de Seguridad Social. Sobre la base de la doctrina constitucional anteriormente expuesta, el legislador no ha hecho sino reconocer que la actualización de la revalorización de las pensiones efectuada al principio del ejercicio pueda ser modulada por la Ley de presupuestos generales del Estado en función de las circunstancias socioeconómicas concurrentes y, por ello, habilita a la Ley de Presupuestos para que decida cuál es el alcance de la actualización. De este modo, el eventual devengo de la diferencia entre el IPC real y el IPC previsto tendría lugar el 31 de diciembre, siendo la Ley de presupuestos generales del Estado el instrumento para determinar el quantum de esa actualización … En consecuencia, dado que cuando se aprobó el Real Decreto-ley 28/2012 no existía una relación consagrada o agotada incorporada al patrimonio del pensionista, sino una mera expectativa, hemos de rechazar que la norma cuestionada haya incurrido en un supuesto de retroactividad auténtica o de grado máximo prohibido por el art. 9.3 CE”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STC 49/2015, en lo que hace a la alegada vulneración del art. 33.3 CE, resolvió que, de acuerdo con la legislación vigente (art. 48.1.2 de la Ley general de la Seguridad Social: LGSS), falta en el art. 2.1 del Real Decreto-ley 28/2012 un elemento indispensable para que pueda calificarse la no actualización de las pensiones de medida expropiatoria, cual es, dicho en los términos de la STC 108/1996, de 29 de julio, FJ 20, que “sólo son expropiables y, por tanto, indemnizables la privación de bienes y derechos o incluso intereses patrimoniales legítimos aun no garantizados como derechos subjetivos (por ejemplo, las situaciones en precario); pero en ningún caso lo son las expectativas”.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doctrina constitucional ha sido reiterada, entre otras, en las SSTC 95/2015, de 14 de mayo, FJ 6, y 109/2015, de 28 de mayo, FJ 2, al decidir sendas cuestiones de inconstitucionalidad que planteaban un debate procesal análogo al que abordaba la STC 49/2015.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que se suscita en el presente proceso, al referirse a la misma disposición legal y fundarse en idénticos preceptos constitucionales que los asuntos resueltos del modo indicado por las SSTC 49/2015, 95/2015 y 109/2015, resulta notoriamente infundada, en el significado que a esta noción le viene dando nuestra doctrina, que no implica un juicio peyorativo sobre la duda de constitucionalidad que traslada el órgano judicial, pero que procesalmente otorga a este Tribunal un cierto margen de apreciación a la hora de controlar la solidez de la fundamentación de las cuestiones de inconstitucionalidad, realizando un examen preliminar de la viabilidad de las mismas (por todas, STC 301/2014, de 16 de diciembre,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1690-2015, planteada por la Sala de lo Social del Tribunal Superior de Justicia de Castilla y León.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Juan Antonio Xiol Ríos al Auto de inadmisión dictado en la cuestión de inconstitucionalidad núm. 1690-2015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Tribunal en la que se sustenta el Auto, manifiesto mi discrepancia con la fundamentación jurídica y el fallo de este, que entiendo hubiera debido de ser de admisión y, en su día, haber dado lugar a una sentencia estimatoria por vulneración del principio de seguridad jurídica (art. 9.3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julio de dos mil quince.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