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7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2649-2013, promovido por Antonio Cano e Hijos S.A, representada por la Procuradora de los Tribunales doña María Dolores Girón Arjonilla y asistido por el Abogado don Antonio Ruiz-Giménez Aguilar, contra la providencia de 12 de marzo de 2013 de la Sección Primera de la Sala de lo Contencioso-Administrativo del Tribunal Supremo, que declaró la inadmisión del incidente de nulidad de actuaciones interpuesto frente al Auto de la Sala, de 20 de diciembre de 2012, que inadmitió el recurso de casación núm. 1553-2012. Ha comparecido el Abogado del Estado, en la representación que ostenta,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mayo de 2013, doña María Dolores Girón Arjonilla, Procuradora de los Tribunales, actuando en nombre y representación de Antonio Cano e Hijos, S.A.,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demandante de amparo, en escrito fechado el 29 de abril de 2012 y al amparo del art. 88.1 de la Ley reguladora de la jurisdicción contencioso-administrativa (LJCA), manifestó su intención de interponer recurso de casación contra la Sentencia de 12 de marzo de 2012 de la Sala de lo Contencioso-Administrativo (Sección Séptima) de la Audiencia Nacional, dictada en el recurso núm. 116-2010, relativo a arancel aduanero común e impuesto sobre el valor añadido (IVA) a la importación. Se encuadraba ese acto procesal en el seno de un proceso de impugnación de una resolución del Tribunal Económico-Administrativo Central, de 15 de diciembre de 2009, que desestimó la reclamación económico-administrativa deducida por la sociedad ahora recurrente contra el acuerdo del Tribunal Económico-Administrativo Regional de Andalucía —Sala de Málaga— de 24 de abril de 2008, que a su vez había rechazado la reclamación formulada contra la liquidación que practicó la dependencia provincial de aduanas e impuestos especiales de Málaga (DUA-I núm. 2911-4-300218), por un importe total de 762.894,49 €.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21 de junio de 2012, la Sala de lo Contencioso-Administrativo del Tribunal Supremo acordó conceder a las partes del recurso de casación núm. 1553-2012 un plazo de diez días para que formularan alegaciones acerca de la posible concurrencia de las siguientes causas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Estar exceptuada del recurso de casación la resolución judicial impugnada por haber recaído en un asunto cuya cuantía no excede de 600.000 euros, en relación con la liquidación relativa al IVA de importación, pues según consta en el expediente administrativo, ni la cuota líquida (115.690,93 euros), ni los intereses de demora anudados a la misma, superan la referida cifra (arts. 86.2.b) LJCA, en la redacción dada al referido precepto por el artículo Tercero.Seis de la Ley 37/2011, de 10 de octubre de Medidas de Agilización Procesal, 42.1.a y 41.3) LJCA). En este sentido Autos de este Tribunal de 14/02/2008 y 18/02/2010, recursos nº 3356/2007 y 4369/2008).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Además, pese a lo anterior, el recurso es inadmisible en su integridad, por no haberse hecho indicación en el escrito de preparación del recurso de las correspondientes infracciones normativas o jurisprudenciales que se desarrollaran [en] el escrito de interposición (arts. 88.1, 89.1 y 93.2.a) LJCA y Auto de esta Sala de 10 de febrero de 2011, Recurso de Casación número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parte recurrente presentó alegaciones en dicho trámite mediante escrito de fecha 11 de julio de 2012, en el que solicitaba la admisión del recurso. En lo relativo a la segunda causa de inadmisión transcrita, manifestaba la sociedad ahora demandante de amparo su discrepancia con el Auto de 20 de febrero de 2011, origen del nuevo criterio procesal aplicado a los escritos de preparación de la casación, y sostenía haber cumplido los requisitos procesales a tenor de lo dispuesto en el art. 89.1 LJCA. Aquel nuevo criterio jurisprudencial, decía en su alegato, representaba un exceso carente de apoyo legal, resultando injusto, rigorista y desproporcionado, contrario al principio pro actione y causante de indefensión, con violación del derecho de acceso al recurso (que integra el art. 24.1 CE) y del principio de igualdad (art. 14 CE), conforme a una comparación de trato entre el recurrente y quienes prepararon recursos similares en el pasado que fueron admitidos con una simple invocación del art. 88.1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20 de diciembre de 2012, la Sala Tercera del Tribunal Supremo (Sección Primera) declaró la inadmisión del recurso de casación. La resolución se apoya en la doctrina sentada en el antes citado ATS de 10 de febrero de 2011, dictado en el recurso de casación núm. 2927-2010, a la vista del cual concluía el Alto Tribunal que, al no contener el escrito de preparación del recurso la cita de las infracciones normativas o jurisprudenciales a desarrollar en el escrito de interposición, procedía la inadmisión por defectuosa preparación, sin que ello implicase lesión alguna del derecho a la tutela judicial efectiva (reproducía parcialmente la STC 37/1995, de 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Auto de inadmisión de 20 de diciembre de 2012 fue promovido incidente de nulidad de actuaciones, invocándose el derecho a la tutela judicial efectiva en su vertiente de acceso a los recursos (art. 24.1 CE) y el principio de igualdad ante la Ley (art. 14 CE). Dicho remedio procesal fue inadmitido por providencia de 12 de marzo de 2013. La resolución judicial reiteraba lo que sostuvo el Auto de 20 de diciembre de 2012 en lo relativo al derecho de acceso a los recursos y, en cuanto a la alegación del art. 14 CE, razonaba que, según la doctrina del Tribunal Constitucional y del Tribunal Supremo citadas en su fundamentación, el cambio de criterio jurisprudencial es legítimo si es razonado y posee vocación de futuro, como sería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derecho a la igualdad en la aplicación judicial de la ley (art 14 CE) y del derecho a la tutela judicial efectiva sin indefensión, en su vertiente del acceso a los recursos (art. 24.1 CE). En síntesis, las vulneraciones de este segundo derecho se asientan en los siguientes argumentos: i) que el incidente de nulidad debió ser admitido a trámite y enjuiciado en su planteamiento de fondo (aunque acepta la demanda de amparo, pese a lo señalado, que la providencia de 12 de marzo de 2013 entró a examinar las denuncias efectuadas); ii) que la alteración del criterio aplicado por el Tribunal Supremo a los escritos de preparación de los recursos de casación, iniciada en el ATS de 10 de febrero de 2011, no encuentra fundamento en un cambio normativo y tampoco acomodo en el espíritu y letra de la ley; en suma, que la nueva interpretación de la norma procesal resulta arbitraria, injusta, desproporcionada y restrictiva para la efectividad del derecho de acceso a los recursos, soslayándose 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aduce desde la perspectiva del art. 14 CE: i) que el cambio de criterio jurisprudencial ha sido irreflexivo y arbitrario, carente de base y fundamento, forzando la interpretación de la norma; ii) que la nueva interpretación coloca a la sociedad demandante de amparo en situación de desigualdad respecto del resto de recurrentes en casación que, al amparo de la misma norma, vieron admitidos en el pasado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por Auto de 18 de noviembre de 2014, acordó declarar justificada la abstención para el conocimiento del presente recurso de amparo formulada por el Magistrado don Ricardo Enríquez Sancho,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diciembre de 2014, la Sección Cuarta de la Sala Segunda de este Tribunal acordó admitir a trámite la demanda de amparo. Asimismo, en aplicación de lo dispuesto en el art. 51 de la Ley Orgánica del Tribunal Constitucional (LOTC), dirigir atenta comunicación al Tribunal Económico-Administrativo Central, al Tribunal Supremo y a la Audiencia Nacional a fin de que, en el plazo de diez días, remitieran, respectivamente, certificación o fotocopia adverada del expediente R.G. 5931-2008, de las actuaciones correspondientes al recurso de casación núm. 1553-2012 y del recurso núm. 116-2010, solicitándose a la Audiencia Nacional el emplazamiento de quienes hubieran sido parte en el procedimiento, excepto la parte recurrente,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fecha 10 de abril de 2015, se tuvo por personado y parte en el procedimiento al Abogado del Estado, en la representación que ostenta, como solicitó éste en escrito registrado el día 12 de diciembre de 2014. A tenor de lo dispuesto en el art. 52 LOTC, se dio vista de las actuaciones recibidas del Tribunal Supremo y de la Audiencia Nacional,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en este Tribunal el 12 de mayo de 2015, en el que interesa que se dicte sentencia desestimatoria de las pretensiones de la demanda. A su juicio, de acuerdo a lo dispuesto en diversas Sentencias de este Tribunal, iniciadas por la STC 7/2015, de 22 de enero, el Auto impugnado no vulnera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adicionalmente que el recurso de casación se preparó más de un año después del cambio de criterio jurisprudencial, por lo que no se da un supuesto de inmediatez o proximidad con el Auto de 10 de febrero de 2011 que pudiera justificar el desconocimiento de la nueva doctrina por parte del recurrente y una consiguiente flexibilización ad casum de su aplicación, como considerara el Tribunal Constitucional en aquella STC 7/2015 en atención a las circunstancias entonces acreditadas (preparación del recurso de casación con anterioridad a la fecha del cambio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13 de mayo de 2015 se registró el escrito de alegaciones de la sociedad recurrente de amparo, en el que reitera los argumentos contenidos en su demanda de amparo y apoya el criterio de los Votos particulares formulados a las SSTC 7/2015, de 22 de enero, y 16/2015, de 16 de febrero. Añade, de otra parte, que el Tribunal Supremo debió ofrecer expresamente la posibilidad de subsanación si consideraba preparado el recurso de manera irregular, cosa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el 20 de mayo de 2015, interesando la desestimación del recurso. Como hiciera en su escrito el Abogado del Estado, resalta también el Fiscal que las cuestiones planteadas en este recurso han sido resueltas por la serie de Sentencias iniciada en la STC 7/2015, subrayando que no hubo en el presente supuesto un intento de subsanación de la parte recurrente asimilable al que dio lugar a la estimación de algunos recursos de dicha serie (SSTC 7/2015, de 22 de enero; 17/2015, de 16 de febrero; 20/2015, de 16 de febrero; 37/2015, de 2 de marzo; 38/2015, de 2 de marzo, y 52/2015, de 16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Justicia de la Sala Segunda de este Tribunal, de fecha 20 de mayo de 2015, a tenor de lo dispuesto en el art. 52.1 LOTC, se dio vista de las actuaciones remitidas por el Tribunal Económico-Administrativo Regional de Andalucía —Sala de Málaga—, recibidas con posterioridad al traslado acordado en la anterior resolución de 10 de abril de 2015, concediéndose al Ministerio Fiscal y a las partes personadas un nuevo término de veinte días para que pudieran presentar las alegaciones que a su derecho conviniera. Tanto el Ministerio Fiscal, en escrito registrado el día 12 de junio de 2015, como el Abogado del Estado y la parte recurrente, que evacuaron el trámite el 22 de junio de 2015, se ratificaron en sus iniciales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septiembre de 2015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núm. 1553-2012, por no haberse citado en el escrito de preparación los concretos preceptos o la jurisprudencia que se reputan infringidos, acordada por el Auto del Tribunal Supremo, de 20 de diciembre de 2012, y confirmada por la providencia de 12 de marzo de 2013, ha vulnerado el derecho a la tutela judicial efectiva (art. 24.1 CE) en su vertiente de derecho de acceso al recurso, por carecer el nuevo criterio jurisprudencial aplicado de amparo legal, y por ser rigorista y desproporcionado, y, en segundo lugar, el derecho a la igualdad en la aplicación de la ley (art. 14 CE), porque el cambio jurisprudencial que inauguró el Tribunal Supremo en el Auto de 10 de febrero de 2011 (recurso de casación núm. 2927-2010), cuya doctrina es aplicada al presente caso, revela una irreflexiva alteración de los requisitos de acceso al recurso causante de desigualdad en la aplicación de una misma norma a supuestos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y en una larga serie posterior de pronunciamientos que toman a ésta como referencia. De acuerdo con la doctrina establecida en ella,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si el control constitucional que este Tribunal debe realizar de las resoluciones judiciales dictadas sobre los presupuestos o requisitos de admisión de los recursos tiene carácter externo, si cabe es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17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y en aquel de 10 de febrero de 2011 en el que toma fundamento (recurso de casación núm. 2927-2010) se razona que la exigencia anteriormente indicada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resaltar, a mayor abundamiento, que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finalmente,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la excepción que, por disposición legal, establezca el efecto exclusivamente prospectivo de la sentencia, como así se prevé en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así la queja formulada al amparo del art. 24.1 CE, nos corresponde indicar ahora que no concurren en el presente caso las excepcionales circunstancias apreciadas en el caso resuelto en la STC 7/2015, de 22 de enero, como en otras posteriores expresivas de circunstancias similares, en las que la parte, con notoria diligencia, procedió a complementar el escrito de preparación inicialmente presentado para ajustarlo al nuevo criterio jurisprudencial tan pronto como tuvo conocimiento de ello. En este caso, antes al contrario, la parte no procedió del modo expuesto ni en el momento de la preparación del recurso (en abril de 2012, por tanto más de un año después del dictado del ATS de 10 de febrero de 2011 —recurso de casación núm. 2927-2010—), ni tampoco cuando le fue notificada la providencia mediante la que el Tribunal Supremo abría el trámite de alegaciones sobre la posible concurrencia de la causa de inadmisión derivada del defecto advertido, por lo que mal podría alegarse la imposibilidad de cumplimiento de la exigencia procesal —que respondía a una doctrina previa y suficientemente asentada en el tiempo— o el derecho a una subsanación del requisito insatisfecho —que no era sobrevenido ni sorpresivo y que, en todo caso, nunca intentó cumplir ni subsanar la parte demandante de amparo, tampoco cuando alcanzó de él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sociedad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terminar deberá traerse a colación brevemente la queja que de modo somero enuncia la demanda sobre la providencia resolutoria del incidente de nulidad de actuaciones. La propia parte recurrente —que denuncia que fuera inadmitido en providencia el remedio procesal del art. 241 LOPJ— reconoce haber recibido en la resolución judicial respuesta a todas las cuestiones planteadas, por lo que no se advierte qué lesión actual y directa al derecho fundamental alegado (art. 24.1 CE) podría sustentar la posición de la parte demandante. Una queja, por ello, retórica y de carácter meramente formal, habida cuenta que las únicas pretensiones que pueden hacerse valer en el amparo constitucional son las dirigidas a restablecer o preservar los derechos o libertades por razón de los cuales se formuló el recurso (por todas, STC 123/2007,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ver defecto alguno de motivación en el razonamiento que contiene la providencia de 12 de marzo de 2013, referido como está, con detalle y abundante cita de jurisprudencia, a cada uno de los derechos fundamentales que fueron invocados. En consecuencia, como exigiéramos entre tantas otras en la STC 204/2014, de 15 de diciembre, FJ 4, el órgano judicial cumplió con su deber de motivar suficientemente las razones de la no admisión a trámite del incidente de nulidad de actuaciones, ofreciendo al recurrente conocimiento de la auténtica ratio decidendi de la resolución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consideración a lo argumentado, esa queja tampoco puede prosperar, y procede, por consiguiente,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Antonio Cano e Hijos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