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 de septiembre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5 de junio de 2015, el Procurador de los Tribunales don Antonio Moraleda Blanco, en nombre y representación de don don José Jesús Chacartegui Pérez Castrillón, presentó recurso de amparo contra el Auto de 6 de febrero de 2015 de la Sección Cuarta de la Audiencia Provincial de A Coruña, dictado en apelación 505-2014.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consecuencia de la entrada en vigor de la Ley 9/2015, de 25 de mayo, por providencia de la Sección Tercera de fecha 22 de junio de 2015 se acordó conceder un plazo de tres días a las partes y al Ministerio Fiscal para que, en virtud del art. 84 de la Ley Orgánica del Tribunal Constitucional, alegaran lo que estimaran conveniente sobre la falta de objeto sobrevenida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formuló alegaciones mediante escrito presentado en fecha 30 de junio de 2015 en el que solicitaba el sobreseimiento y archivo de este recurso de amparo por pérdida de objeto al haberse dictado la Ley 9/2015, cuya disposición transitoria cuarta establece un plazo de dos meses para formular recurso de apelación contra el Auto desestimatorio de la oposición en el procedimiento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alegaciones mediante escrito registrado el 8 de julio de 2015, en el que consideró, a la vista de la norma aplicable, la disposición transitoria cuarta de la Ley 9/2015, de 25 de mayo, que abre un nuevo plazo para formular recurso de apelación, que podría concurrir en el presente recurso de amparo una eventual pérdida de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En estos supuestos, por tanto, la demanda de amparo deja de tener objeto, toda vez que la reparación de la lesión del derecho fundamental por los propios órganos judiciales, antes de que este Tribunal haya dictado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mayo,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supuestos podemos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por lo que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las presentes actuaciones se desprende que la entrada en vigor de la Ley 9/2015, de 25 de mayo, cuya disposición transitoria cuarta abre un nuevo plazo de dos meses para que la parte ejecutada pueda interponer recurso de apelación contra el Auto resolutorio de la oposición por abusividad, y habida cuenta que este recurso es susceptible de ser interpuesto por el demandante de amparo, se ha producido una pérdida sobrevenida del objeto de este recurso por lo que, de conformidad con lo dispuesto en los arts. 80 y 86.1 de la Ley Orgánica del Tribunal Constitucional, en relación con el art. 22 de la Ley de enjuiciamiento civil, procede declarar la perdida de objeto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septiembre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