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6813-2014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el Fiscal General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noviembre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23 de octubre de 2014, en el que se acuerda plantear cuestión de inconstitucionalidad sobre 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fundación Zalima, titular del centro docente privado concertado “Zalima” interpuso recurso contencioso-administrativo contra la Orden de 27 de febrero de 2013, de la Consejería de Educación de la Junta de Andalucía, por la que se resuelve la solicitud de renovación del concierto educativo con dicho centro docente privado, a partir del curso académico 2013-2014. Dicha orden denegaba el concierto educativo para el referido centro docente por no cumplir presuntamente este con lo establecido en el art. 84.3 de la Ley Orgánica 2/2006, de 3 de mayo, de educación (LOE), en lo que se refiere a la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 administrativo, interpuesto ante la Sala de lo Contencioso-Administrativo del Tribunal Superior de Justicia de Andalucía, con sede en Sevilla, se basaba, entre otros motivos de ilegalidad y de inconstitucionalidad, en que la Administración había incumplido el mandato establecido en el art. 17.8 de la Ley 17/2012, de 27 de diciembre, que había entrado en vigor el 1 de enero de 2013. El Letrado de la Junta de Andalucía, en la contestación a la demanda, alegaba la inconstitucionalidad del citado artículo 17.8 por vulneración de la reserva de ley orgánica del art. 81 CE y por exceder del contenido admisible para una ley de presupuestos, con vulneración, además, del principio de igualdad de los arts. 9.3 y 14 CE; solicitaba a su vez el planteamiento de la cuestión de inconstitucionalidad para el caso de que la Sala estimase que dicho precepto legal es esencial para la resolución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Estando conclusas las actuaciones y señalado para votación y fallo el día 25 de junio de 2014, se dictó por la Sala providencia de 26 de junio dando plazo común de diez días para alegaciones a las partes y al Ministerio Fiscal, conforme a lo dispuesto en los arts. 5.2 de la Ley Orgánica del Poder Judicial (LOPJ) y 35.2 de la Ley Orgánica del Tribunal Constitucional (LOTC), por considerar la Sala “que el artículo 17.8 de la Ley 17/2012, de 27 de diciembre, de Presupuestos Generales del Estado, de cuya validez depende el fallo, pudiera ser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Habiendo alegado el Ministerio Fiscal que la providencia citada no cumplía las exigencias del art. 35.2 LOTC, por no mencionar la norma constitucional cuya vulneración se cuestionaba y no justificar en qué medida la decisión del proceso dependía de su validez, se dictó otra nueva de 31 de julio de 2014, dando plazo común de diez días, conforme a lo dispuesto en los arts. 5.2 LOPJ y 35.2 LOTC, para que las partes y el Ministerio Fiscal alegasen sobre la inconstitucionalidad en que podría incurrir el art. 17.8 de la Ley 17/2012, de 27 de diciembre, de cuya validez depende el fallo, por vulneración de los arts. 81.1 y 134.2 CE. Considera la nueva providencia que, tras el dictado del precepto mencionado, la Administración no puede seguir aplicando la jurisprudencia recaída en interpretación de la Ley Orgánica de educación. Entiende que este precepto invade la reserva de ley orgánica y excede del contenido que la Constitución contempla para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19 de septiembre de 2014, sin pronunciarse sobre el fondo del asunto y atendiendo solo a los aspectos formales, el Ministerio Fiscal expresó la procedencia de plantear la cuestión. El Letrado de la Junta de Andalucía, mediante escrito presentado el 30 de septiembre de 2014, consideró que procedía el planteamiento de la cuestión. La parte recurrente, en escrito presentado el 23 de septiembre de 2014, formuló alegaciones solicitando que la Sala adopte la decisión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23 de octubre de 2014, en el que acuerda plantear cuestión de inconstitucionalidad respecto al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escolarizan alumnos de ambos sexos. El estado de la cuestión, prosigue, ha cambiado con la Ley 17/2012, cuyo artículo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pleito. No obstante, expresa dos dudas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 a la reserva a la ley orgánica de la regulación de los aspectos esenciales de un derecho fundamental. Entiende el órgano judicial que no se había puesto en duda el sistema de la educación diferenciada hasta la entrada en vigor de la Ley Orgánica de educación, en cuyo artículo 84.3 se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en la reforma de la Ley Orgánica de educación se ha introducido, en el artículo 84.3 lo siguiente: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establece los límites de las leyes de presupuestos, distinguiendo entre (i) el contenido necesario y (ii)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sería dudoso que, aun cuando pueda tener una relación directa con los ingresos o gastos del Estado, sea complemento necesario para su mejor inteligencia.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febrero de 2015, el Pleno del Tribunal Constitucional, a propuesta de la Sección Tercera, acuerda admitir a trámite la presente cuestión y, conforme a lo dispuesto en el art. 10.1 c) LOTC, deferir a la Sala Primera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el 18 de febrero de 2015, comunicó a este Tribunal que la Mesa de la Cámara adoptó el acuerdo de personarse en el proceso, ofreciendo su colaboración a los efectos del art. 88.1 LOTC. Lo mismo hizo el Presidente del Congreso de los Diputados por escrito que tuvo entrada en el Registro General de este Tribunal el 19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marzo de 2015 se personó en el proceso el Abogado del Estado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A continuación, expone el sistema de conciertos educativos previsto en la Ley Orgánica de educación, señalando que dicha norma no establece prohibición expresa alguna sobre la financiación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consideración de que el Auto de planteamiento de la cuestión solo desarrolla de manera mínima la vulneración del art. 81.1 CE. A su juicio, no puede sostenerse que el art. 17.8 de la Ley 17/2012 suponga una innovación normativa que afecte al núcleo esencial del derecho fundamental a la educación, conforme a la doctrina constitucional. En su opinión, el art. 17 de la Ley 17/2012 lo que hace es concretar, para el ejercicio 2013, las previsiones de los arts. 116 y siguientes LOE; estos preceptos no tienen carácter orgánico, por lo que menos pueden tenerlo las previsiones dictadas en su desarrollo, que, tienen además un carácter temporal limitado al ejercicio 2013. El cuestionado artículo 17.8 establece una concreción necesaria del ámbito subjetivo de los conciertos para la aplicación de las previsiones presupuestarias. Si bien admite que el precepto se dicta en un momento en que la jurisprudencia del Tribunal Supremo entendió que los centros con educación diferenciada vulneraban el principio de igualdad en su vertiente relativa a la no discriminación por razón de sexo ex art. 84.3 LOE y no podían por ello ser beneficiarios de conciertos educativos, lo cierto es que la Ley Orgánica de educación no contenía una previsión expresa al respecto. En su opinión, el artículo 17.8 no introduce una previsión sustantiva contraria o diferente al art. 84.3 LOE, aunque lo interprete de una manera diferente al Tribunal Supremo. Esta diferente interpretación, al entender dentro del ámbito subjetivo de los conciertos los centros con educación diferenciada, no invade el ámbito de ley orgánica, en cuanto no supone el desarrollo del núcleo esencial del derecho a la educación. Finalmente, alega que la modificación de la Ley Orgánica de educación por la Ley Orgánica 8/2013, de 9 de diciembre, que precisa que no se puede entender por discriminación por razón de sexo la escuela diferenciada y afirma que los centros de educación diferenciada tienen derecho, si cumplen con las condiciones legales, a concierto para su financiación, sólo aclara o interpreta las previsiones de la redacción anterior del art. 84.3 LOE. Concluye que la previsión del art. 17.8 de la Ley 17/2012 no afecta a la reserva de ley orgánica, por lo que este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precepto cuestionado vulnere el art. 134.2 CE, atendiendo a la doctrina constitucional sobre el contenido de la ley de presupuestos. Partiendo de la misma, entiende que el artículo 17.8 integra el denominado “contenido eventual” de la ley de presupuestos y no constituye una modificación sustantiva del ordenamiento jurídico. Tiene un carácter limitado en el ámbito temporal y tiene una conexión económica o presupuestaria evidente, que fundamenta en la remisión que el art. 117 LOE realiza a las leyes de presupuestos generales del Estado. La concreción del ámbito subjetivo de los centros beneficiarios de conciertos educativos es un elemento esencial para poder prever las habilitaciones presupuestarias. La incidencia en la ordenación del programa anual de gastos es necesaria y principal y por ello suficiente para legitimar su inclusión en la ley de presupuestos. Se trata de una conexión con su objeto (habilitación de gastos)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marzo de 2015 presentó sus alegaciones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 hecho de la cuestión, así como el contenido del art. 17 y de los anexos IV y V de la Ley 17/2012, de 27 de diciembre, y del propio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las cuestiones planteadas en el Auto, analiza la pervivencia del objeto, dado que las previsiones anteriormente citadas se limitaban al ejercicio presupuestario de 2013; llega a la conclusión de que, conforme a la doctrina de este Tribunal, no se ha producido la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 2 CE, conforme a la doctrina constitucional. La regulación prevista en el citado precepto no puede ser escindida de su contexto, constituido no sólo por los números 1 a 7 del artículo 17, sino también por los anexos IV y V de esa misma Ley. La norma cuestionada, en cuanto dispone que dicha regulación es plenamente aplicable a la financiación de todos los centros concertados, incluidos los de educación diferenciada que escolarizan alumnos de un solo sexo, no hace sino extender a estos una serie de disposiciones que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Partiendo de la doctrina establecida en la STC 86/1985, afirma que el art. 27.9 CE ni enuncia un derecho fundamental a la prestación pública, ni encierra un derecho subjetivo a la misma. Si, además, tal prestación pública habrá de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sobre 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 de la citada Ley regula el módulo económico de distribución de fondos públicos para sostenimiento de centros concertados, en cumplimiento, conforme a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conceptos como los de antigüedad, sustituciones o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ley orgánica regular aspectos esenciales de un derecho fundamental, como el art. 134.2 CE, por no poder considerarse dicho párrafo contenido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nuestra reciente STC 234/2015, de 5 de noviembre, hemos resuelto inadmitir una cuestión de inconstitucionalidad (núm. 6518-2014) idéntica a la presente, planteada por el mismo órgano judicial, por inadecuada formulación del juicio de relevancia (art. 35.1 de la Ley Orgánica del Tribunal Constitucional: LOTC). En consecuencia, por remisión a lo entonces razonado, la presente cuestión ha de correr igual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citada STC 234/2015, FJ 2, apreciamos que en la explicación de la dependencia del fallo del proceso a quo de la validez constitucional de la norma cuestionada que realiza el órgano judicial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 Único.71 LOMCE.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 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Pese a que la LOMCE entró en vigor a los veinte días de su publicación en el Boletín Oficial del Estado, que tuvo lugar el 10 de diciembre de 2013 y, por tanto, ya estaba vigente el 14 de octubre de 2014, momento en el que se acuerda plantear la cuestión dictando el correspondiente Auto, el órgano judicial no hace referencia alguna a este precepto en su argumentación, ni tampoco a las razones por las que, en su defecto, entiende que no es de aplicación al caso que ha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entendió que “dicha omisión condiciona ineludiblemente la valoración acerca de la adecuada formulación de los juicios de aplicabilidad y relevancia exigidos para el planteamiento de la cuestión de inconstitucionalidad por el art. 35 LOTC”. Ello porque “en el supuesto que consideramos, teniendo presente lo dispuesto por la LOMCE y el silencio del órgano judicial al respecto, no puede asegurarse, en este momento, que el pronunciamiento de este Tribunal acerca del art. 17.8 de la Ley 17/2012, de 27 de diciembre, objeto de la presente cuestión, fuera necesario e imprescindible para resolver el caso sometido a la consideración de la Sala cuestionante, de manera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Ese sería el caso si el órgano judicial optase, una vez resuelta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—concluimos en la STC 234/2015, FJ 2— “es indiscutible que el precepto cuestionado es aplicable para la resolución del pleito sometido a la consideración del órgano judicial, pero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mismas razones expresadas en la STC 234/2015, FJ 2, procede acordar también la inadmisión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