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198</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30 de noviembre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21 de octubre de 2014, la Procuradora de los Tribunales doña María Amparo Alonso León, en nombre y representación de doña R. C. M. Segura, interpuso recurso de amparo contra el Auto de fecha de 9 de enero de 2014, dictado por el Juzgado de Primera Instancia núm. 16 de Granada, que acordó no admitir a trámite el incidente de nulidad de actuaciones por ella promovido en el procedimiento de oposición de medidas de menores (autos núm. 1634-2013) y contra el Auto de la Sección Quinta de la Audiencia Provincial de Granada, de 3 de septiembre de 2014, recaído en recurso de apelación núm. 157-2014, solicitando como medida cautelar urgente la suspensión del procedimiento sobre oposición a la adopción seguido igualmente ante el Juzgado de Primera Instancia núm. 16 de Granada bajo los autos núm. 1153-2013 y señalado para el próximo día 27 de noviembre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Tribunal Constitucional, en virtud de Auto, de fecha de 2 de noviembre de 2015, acordó “otorgar la suspensión cautelar del procedimiento de adopción incoado ante el Juzgado de Primera Instancia núm. 16 de Granada, con el núm. de autos 599-11, y del incidente de oposición a la adopción seguido bajo los autos núm. 1634-2013, sin perjuicio de las medidas que puedan adoptarse al respecto por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4 de noviembre de 2015, la Procuradora de los Tribunales doña María Amparo Alonso León, en nombre y representación de doña R. C. M. Segura, solicita la rectificación del número de autos relativo al incidente de oposición a la adopción, al observar en el fallo un mero error material. Se alega que en la parte dispositiva del referido Auto del Tribunal Constitucional, de 2 de noviembre de 2015, se indica como número de autos relativo al incidente de oposición a la adopción el 1634-2013, cuando éstos se corresponden con el incidente de nulidad de actuaciones respecto de la sentencia dictada en el procedimiento de acogimiento, siendo el número correcto de autos sobre el incidente de oposición a la adopción los 1153-2013.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establece que en el plazo de dos días, a contar desde la notificación, las partes podrán solicitar la aclaración de la sentencia. Esta actuación judicial, de acuerdo con el art. 267.1 de la Ley Orgánica del Poder Judicial, deberá limitarse a “aclarar algún concepto oscuro y suplir cualquier omisión que contengan” sobre puntos discutidos en el litigio, siendo posible también rectificar los errores materiales manifiestos y los aritméticos allí contenidos, pero no podrá suponer, sin embargo, variación o modificación de la resolución judicial (entre otros, AATC 363/2007, de 11 de septiembre; 439/2006, de 11 de diciembre; 70/2008, de 26 de febrero; 32/2010, de 2 de marzo, y 134/2013, de 3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solicita la rectificación de un error material contenido en la parte dispositiva del Auto, de fecha de 2 de noviembre de 2015, en relación con el número de autos del incidente de oposición a la adopción seguido ante el Juzgado de Primera Instancia núm. 16 de Granada. Constando el error material advertido, procede la rectificación solicitada. Por ello, donde dice “autos núm. 1634-2013” en relación con el incidente de oposición a la adopción, debe decir “autos núm. 1153-2013”.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Rectificar el error material en cuanto al número de autos 1153-2013 relativo al incidente de oposición a la adopción seguido ante el Juzgado de Primera Instancia núm. 16 de Granada. Así, donde dice “autos 1634-2013” en relación con el incidente de oposición a la adopción, debe decir “autos 1153-2013”.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