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18 de enero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20 de mayo de 2013, el Procurador don Jorge Laguna Alonso interpuso demanda de amparo conforme a lo previsto en el art. 42 de la Ley Orgánica del Tribunal Constitucional (LOTC), en nombre y representación de la diputada doña Carmen Menéndez González-Palenzuela, contra el acuerdo del Presidente de la Asamblea de Madrid de 9 de mayo de 2013, que dispuso la expulsión del Pleno de la Asamblea de la recurrente, así como la suspensión de sus derechos y deberes como diputada durante el plazo de un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considera que el acuerdo impugnado vulnera los derechos fundamentales reconocidos en los arts. 20, 23 y 25.1 CE. Por medio de otrosí se solicita que, de conformidad con lo previsto en el art. 56.2 y 6 LOTC, se acuerde la suspensión de la sanción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30 de noviembre de 2015, la Sala Primera de este Tribunal acordó admitir a trámite la demanda de amparo y formar la correspondiente pieza separada de suspensión, dando traslado por providencia de igual fecha al Ministerio Fiscal y a la recurrente para que alegaran lo que estimasen pertinente sobre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presentó escrito registrado el 18 de diciembre de 2015 en el que, tras hacer referencia a la excepcionalidad de la medida cautelar de suspensión, señala que, de acuerdo con la doctrina de este Tribunal, habría que considerar que en el presente caso concurrirían los presupuestos que justifican su adopción, dado que se trata de una sanción privativa de las funciones de diputado, de muy corta duración temporal, que no es susceptible de restaurar, en el supuesto de que el amparo fuera estimado, haciéndole perder su efectividad para el restablecimiento del derecho fundamental invocado como lesionado. Por otra parte, pone de manifiesto que no resultaría afectado un interés general distinto del de la efectividad del acto del órgano parlamentario que impuso la sanción, ni tampoco otros derechos fundamentales de terceros. No obstante lo dicho, se estima que no procede acceder a la petición de suspensión de la sanción, al haber sido admitido el recurso de amparo con posterioridad al cumplimiento total de la sanción impuesta por el acuerdo de 9 de mayo de 2013, del Presidente de la Asamblea de Madrid y, sobre todo, habiendo concluido la IX Legislatura Autonómica en la que la recurrente obtuvo la condición de diputada de dicha Asamblea y en la que fue objeto de la sanción recurrida en amparo. En virtud de ello, considera el Fiscal que la suspensión de la ejecución de la resolución no puede tener ninguna efectividad y, por tanto, que ha sobrevenido la pérdida de objeto de la medida cautelar.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(LOTC) establece que la Sala que conozca de un recurso de amparo podrá disponer, de oficio o a instancia de parte, la suspensión del acto de los poderes públicos por razón del cual se reclame el amparo constitucional, cuando la ejecución hubiere de ocasionar al recurrente un perjuicio que haría perder al amparo su finalidad, siempre que dicha suspensión no ocasione perturbación grave a un interés constitucionalmente protegido o a los derechos fundamentales o libertades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lo anterior no debe hacer olvidar que la mera interposición de un recurso de amparo no obsta a la vigencia, efectividad o ejecutoriedad de las disposiciones generales, actos administrativos o resoluciones judiciales que sean objeto de impugnación. La Ley Orgánica del Tribunal Constitucional establece el principio de que “la interposición del recurso de amparo no suspenderá los efectos del acto o sentencia impugnados” (art. 56.1), lo cual “es consecuencia de la presunción de legitimidad que alcanza a todas las actuaciones de los poderes públicos, presunción inherente a la entera actividad pública (legislativa, ejecutiva y judicial)” [AATC 189/2015 y 190/2015, ambos de 5 de noviembre,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Consiguientemente, la suspensión se configura como una medida de carácter excepcional y de aplicación restrictiva (por todos, ATC 117/2015, de 6 de julio, FJ 1). A lo cual se añade que la acreditación del perjuicio es carga del recurrente, quien, además de alegar, debe probar o, por lo menos, justificar —ofreciendo un principio razonable de prueba— la irreparabilidad o dificultad de la reparación de los perjuicios de seguirse la ejecución del acto impugnado (ATC 90/2014, de 27 de marzo, FJ 1, entre otros muchos), al punto de privar al recurso de su finalidad, provocando que el restablecimiento del recurrente en el derecho constitucional vulnerado sea tardío y convirtiendo en meramente ilusorio y nominal el amparo (por todos, AATC 51/1989, de 30 de enero; 290/1995, de 23 de octubre; 370/1996, de 16 de diciembre, y 283/1999, de 29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mismo, no resulta adecuada la suspensión de actos o resoluciones ya ejecutados, perdiendo objeto la solicitud en tales casos (AATC 190/2015, de 5 de noviembre, FJ 2, y 288/2007, de 18 de junio, FJ único y resoluciones allí citadas). Porque la suspensión sólo procede respecto de una ejecución que se está produciendo o que podría producirse en el futuro, careciendo, en cambio, de objeto y de sentido cuando el acto de los poderes públicos impugnado ya ha sido ejecutado plenamente, pues en ese caso las vulneraciones, de concurrir, ya se habrían producido y agotado (AATC 315/2003, de 1 de octubre, y 94/2006, de 27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la doctrina constitucional citada, ha de ponerse de relieve que, en este caso, la demandante argumentó en su demanda la existencia de un perjuicio irreparable de no suspenderse el acuerdo recurrido, al no resultar posible restituirla en los actos parlamentarios que hubiera podido ejercer durante el mes en el que se encontró suspendida de sus derechos y deberes como diputada regional. De otra parte, la suspensión tampoco afectaría a un interés constitucionalmente protegido distinto al de la efectividad del acto del órgano parlamentario que impuso la sanción, ni a otros derechos fundamentales o libertades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conforme a esa misma doctrina constitucional, han de añadirse a esas consideraciones otras que se derivan de las circunstancias particulares sobrevenidas en el presente supuesto y que obligan a plantearse si resulta innecesario e inútil que el Tribunal se pronuncie sobre la petición de suspensión. Y, en este sentido, ha de coincidirse con el Fiscal cuando señala que, dado que el recurso de amparo ha sido admitido con posterioridad al cumplimiento total de la sanción impuesta y habiendo concluido la IX Legislatura autonómica en la que la recurrente obtuvo la condición de diputada de la Asamblea de Madrid y en la que fue sancionada, la eventual suspensión del acuerdo impugnado no tendría ningún efecto relevante sobre el conflicto planteado en el recurso, de modo que resultaría patentemente inútil. En consecuencia, procede su denegación, desde el momento en que acordarla cuando ha desaparecido el objeto del incidente de suspensión en modo alguno contribuiría a evitar un perjuicio que hiciese perder al amparo su finalidad (art. 56.1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esta pieza separada de suspensión, por desaparición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