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octubre de 2015, el Juzgado de lo Contencioso-Administrativo núm. 1 de Santander remitió testimonio del Auto de 13 de octubre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Sentencias del Juzgado promotor de 21 de noviembre de 2000 (dos), 28 de noviembre de 2000 y 9 de febrero de 2004, dictadas en los procedimientos ordinarios núms. 185-1999, 183-1999, 184-1999 y 181-1999, se anularon licencias urbanísticas concedidas por el Ayuntamiento de Argoños en la urbanización “Las Llamas” por no respetarse en todos esos casos la obligación de adaptar las construcciones al ambiente en que estuviesen situadas contenida en el art. 138 del texto refundido de la Ley del suelo aprobado por Real Decreto Legislativo 1/1992, de 26 de junio. Todos esos procedimientos fueron instados por la asociación para la defensa de los recursos naturales de Cantabria (ARCA), y todas esas Sentencias ganaron firmeza como consecuencia de las desestimación de los recursos de apelación interpuestos contra ellas por Sentencias de distintas fechas dictadas por la Sala de lo Contencioso-Administrativo del Tribunal Superior de Justicia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las referidas Sentencias, acordándose por el Juzgado la acumulación de todos esos incidentes de ejecución en uno solo, correspondiente al procedimiento ordinario núm. 185-1999.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seno del referido incidente, el Ayuntamiento de Argoños presentó escrito solicitando al amparo del art. 105 de la Ley reguladora de la jurisdicción contencioso-administrativa (LJCA) que el Juzgado acordara la inejecutabilidad de las Sentencias recaídas.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6 de abril de 2015 se dio traslado a las partes personadas para que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la vista de las alegaciones efectuadas el Juzgado, mediante providencia de 20 de julio de 2015, acordó en virtud del art. 35.2 de la Ley Orgánica del Tribunal Constitucional (LOTC), con suspensión del plazo para dictar resolución, oír a las partes por posible inconstitucionalidad de la normativa autonómica. En concreto, dudaba de la constitucionalidad del art. art. 65 bis.1 de la Ley 2/2001, de 25 de junio, de ordenación territorial y del régimen urbanístico del suelo de Cantabria, añadido por el art. 1 de la Ley 4/2013, de 20 de junio, en la parte que se refiere a las órdenes de demolición judicial. Entendía que el inciso del precepto legal impugnado pudiera ser contrario al art.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Oídas las partes personadas en el proceso, el Juzgado acordó mediante Auto de 13 de octubre de 2015 plantear cuestión de inconstitucionalidad en relación con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ordenes de demolición judiciales, puede ser contrario al art. 149.1.6 CE, al derecho a la ejecución de sentencias que garantiza el art. 24 CE y al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derecho que forma parte del derecho fundamental a la tutela judicial efectiva (art. 24.1 CE), y puede lesionar el art 117.3 CE, ya que permite que la Administración pueda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la suspensión de la ejecución de sentencias anulatorias de licencias prevista en la Ley 2/2001, de 25 de junio, ya fue declarada inconstitucional en la STC 92/2013, de 22 de abril. Para él, la suspensión ahora regulada, aunque limitada a cuatro años, tiene el mismo efecto: hace que el ayuntamiento tenga en sus manos la posibilidad de frustrar la efectividad de la ejecución del fallo, entrando la disposición en conflicto con el art. 117.3 CE y 105.1 LJCA, que expresamente prohíbe la suspensión de la ejecución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finalmente que pueda oponerse que la causa de la inejecución sea el acto administrativo, pues este se ampara en la norma cuestionada, alejando sine díe la ejecución de la Sentencia firme y anticipando la eficacia de una norma que no es tal. Considera que tampoco se trata del otorgamiento de una nueva licencia, tras la anulada, sino de una licencia provisional, cuyo encaje de legalidad se debe efectuar con un proyecto de norma exento de control judicial al no tratarse de un acto definitivo, lo que supone dejar en manos del ejecutado la ejecución de sentencias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al Juzgado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2015, el Pleno, a propuesta de la Sección Cuarta, acordó admitir a trámite la cuestión de inconstitucionalidad, deferir su conocimiento a la Sala Segunda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que tuvo entrada el 24 de noviembre de 2015, comunicó que la Mesa de la Cámara había acordado personarse en el proceso, ofreciendo su colaboración a los efectos del art. 88.1 LOTC. Lo mismo hizo el Presidente del Congreso de los Diputados mediante escrito que tuvo entrada el siguiente día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3 de diciembre de 2015 solicitando la estimación de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artículo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artículo 24.1 en relación con los artículos 117.3 y 118,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9 de diciembre de 2015 el Letrado del Gobierno de Cantabria presentó un escrito solicitando que se acuerde la terminación por pérdida sobrevenida de objeto de la presente cuestión de inconstitucionalidad al haber sido ya anulado y expulsado del ordenamiento el inciso cuestionado por la STC 254/2015,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mismo sentido, la Fiscal General del Estado solicitó por escrito registrado el 21 de diciembre de 2015 que se dicte resolución por la que se declare la pérdida sobrevenida de objeto de la presente cuestión de inconstitucionalidad, al haber sido ya anulado el inciso cuestionado por la citada STC 254/2015.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el Juzgado de lo Contencioso-Administrativo núm. 1 de Santander en relación con el art. 65 bis.1 de la Ley 2/2001, de 25 de junio, de ordenación territorial y del régimen urbanístico del suelo de Cantabria, introducido por la Ley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5964-2015,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